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E976" w14:textId="77777777" w:rsidR="00DB0AF2" w:rsidRPr="00DB0AF2" w:rsidRDefault="00226F36" w:rsidP="00226F36">
      <w:pPr>
        <w:jc w:val="right"/>
        <w:rPr>
          <w:b/>
        </w:rPr>
      </w:pPr>
      <w:r w:rsidRPr="00226F36">
        <w:rPr>
          <w:b/>
          <w:noProof/>
          <w:lang w:eastAsia="en-GB"/>
        </w:rPr>
        <w:drawing>
          <wp:inline distT="0" distB="0" distL="0" distR="0" wp14:anchorId="2C6E88A3" wp14:editId="277CA251">
            <wp:extent cx="3078737" cy="819150"/>
            <wp:effectExtent l="0" t="0" r="7620" b="0"/>
            <wp:docPr id="1" name="Picture 1" descr="C:\Users\nasma\Desktop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ma\Desktop\NEW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558" cy="82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8"/>
        <w:gridCol w:w="1054"/>
        <w:gridCol w:w="7689"/>
        <w:gridCol w:w="1305"/>
      </w:tblGrid>
      <w:tr w:rsidR="008B3974" w14:paraId="06D0041A" w14:textId="77777777" w:rsidTr="00F27B52">
        <w:tc>
          <w:tcPr>
            <w:tcW w:w="699" w:type="pct"/>
            <w:gridSpan w:val="2"/>
            <w:shd w:val="clear" w:color="auto" w:fill="E5DFEC" w:themeFill="accent4" w:themeFillTint="33"/>
          </w:tcPr>
          <w:p w14:paraId="353B3221" w14:textId="77777777" w:rsidR="008B3974" w:rsidRPr="00B37AEC" w:rsidRDefault="008B3974">
            <w:pPr>
              <w:rPr>
                <w:b/>
                <w:sz w:val="24"/>
                <w:szCs w:val="24"/>
              </w:rPr>
            </w:pPr>
            <w:r w:rsidRPr="00B37AEC">
              <w:rPr>
                <w:b/>
                <w:sz w:val="24"/>
                <w:szCs w:val="24"/>
              </w:rPr>
              <w:t>MINUTES</w:t>
            </w:r>
          </w:p>
          <w:p w14:paraId="3AFEE2CC" w14:textId="77777777" w:rsidR="00226F36" w:rsidRPr="0048257A" w:rsidRDefault="00226F36">
            <w:pPr>
              <w:rPr>
                <w:b/>
                <w:sz w:val="24"/>
                <w:szCs w:val="24"/>
              </w:rPr>
            </w:pPr>
          </w:p>
        </w:tc>
        <w:tc>
          <w:tcPr>
            <w:tcW w:w="4301" w:type="pct"/>
            <w:gridSpan w:val="2"/>
          </w:tcPr>
          <w:p w14:paraId="5F4F7889" w14:textId="39D5D8FB" w:rsidR="008B3974" w:rsidRPr="006563B0" w:rsidRDefault="008B3974" w:rsidP="00226F36">
            <w:pPr>
              <w:rPr>
                <w:b/>
              </w:rPr>
            </w:pPr>
            <w:r w:rsidRPr="006563B0">
              <w:rPr>
                <w:b/>
              </w:rPr>
              <w:t xml:space="preserve">NASMA </w:t>
            </w:r>
            <w:r w:rsidR="00E20763" w:rsidRPr="006563B0">
              <w:rPr>
                <w:b/>
              </w:rPr>
              <w:t>(</w:t>
            </w:r>
            <w:r w:rsidR="00C0252C" w:rsidRPr="006563B0">
              <w:rPr>
                <w:b/>
              </w:rPr>
              <w:t>NE</w:t>
            </w:r>
            <w:r w:rsidR="00226F36" w:rsidRPr="006563B0">
              <w:rPr>
                <w:b/>
              </w:rPr>
              <w:t xml:space="preserve">) </w:t>
            </w:r>
            <w:r w:rsidRPr="006563B0">
              <w:rPr>
                <w:b/>
              </w:rPr>
              <w:t>REGIONAL MEETING</w:t>
            </w:r>
          </w:p>
        </w:tc>
      </w:tr>
      <w:tr w:rsidR="008B3974" w14:paraId="4C8ED81C" w14:textId="77777777" w:rsidTr="00F27B52">
        <w:tc>
          <w:tcPr>
            <w:tcW w:w="699" w:type="pct"/>
            <w:gridSpan w:val="2"/>
            <w:shd w:val="clear" w:color="auto" w:fill="E5DFEC" w:themeFill="accent4" w:themeFillTint="33"/>
          </w:tcPr>
          <w:p w14:paraId="753A153C" w14:textId="77777777" w:rsidR="008B3974" w:rsidRPr="0048257A" w:rsidRDefault="008B3974">
            <w:pPr>
              <w:rPr>
                <w:b/>
                <w:sz w:val="24"/>
                <w:szCs w:val="24"/>
              </w:rPr>
            </w:pPr>
            <w:r w:rsidRPr="0048257A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4301" w:type="pct"/>
            <w:gridSpan w:val="2"/>
          </w:tcPr>
          <w:p w14:paraId="504D9D0D" w14:textId="64FDAE2E" w:rsidR="008B3974" w:rsidRPr="006563B0" w:rsidRDefault="000C30E1">
            <w:pPr>
              <w:rPr>
                <w:b/>
              </w:rPr>
            </w:pPr>
            <w:r w:rsidRPr="006563B0">
              <w:rPr>
                <w:b/>
              </w:rPr>
              <w:t>21/05/2026</w:t>
            </w:r>
          </w:p>
        </w:tc>
      </w:tr>
      <w:tr w:rsidR="008B3974" w14:paraId="21A28E4F" w14:textId="77777777" w:rsidTr="00F27B52">
        <w:tc>
          <w:tcPr>
            <w:tcW w:w="699" w:type="pct"/>
            <w:gridSpan w:val="2"/>
            <w:shd w:val="clear" w:color="auto" w:fill="E5DFEC" w:themeFill="accent4" w:themeFillTint="33"/>
          </w:tcPr>
          <w:p w14:paraId="1F058297" w14:textId="77777777" w:rsidR="008B3974" w:rsidRPr="0048257A" w:rsidRDefault="008B3974">
            <w:pPr>
              <w:rPr>
                <w:b/>
                <w:sz w:val="24"/>
                <w:szCs w:val="24"/>
              </w:rPr>
            </w:pPr>
            <w:r w:rsidRPr="0048257A">
              <w:rPr>
                <w:b/>
                <w:sz w:val="24"/>
                <w:szCs w:val="24"/>
              </w:rPr>
              <w:t>VENUE</w:t>
            </w:r>
          </w:p>
        </w:tc>
        <w:tc>
          <w:tcPr>
            <w:tcW w:w="4301" w:type="pct"/>
            <w:gridSpan w:val="2"/>
          </w:tcPr>
          <w:p w14:paraId="316F9B38" w14:textId="59264EED" w:rsidR="008B3974" w:rsidRPr="006563B0" w:rsidRDefault="0070430E" w:rsidP="00226F36">
            <w:pPr>
              <w:rPr>
                <w:b/>
              </w:rPr>
            </w:pPr>
            <w:r w:rsidRPr="006563B0">
              <w:rPr>
                <w:b/>
              </w:rPr>
              <w:t>TEAMS</w:t>
            </w:r>
          </w:p>
        </w:tc>
      </w:tr>
      <w:tr w:rsidR="006E3C72" w14:paraId="3FDC688F" w14:textId="77777777" w:rsidTr="00F27B52">
        <w:tc>
          <w:tcPr>
            <w:tcW w:w="699" w:type="pct"/>
            <w:gridSpan w:val="2"/>
            <w:shd w:val="clear" w:color="auto" w:fill="E5DFEC" w:themeFill="accent4" w:themeFillTint="33"/>
          </w:tcPr>
          <w:p w14:paraId="743A33CE" w14:textId="77777777" w:rsidR="006E3C72" w:rsidRPr="0048257A" w:rsidRDefault="006E3C72">
            <w:pPr>
              <w:rPr>
                <w:b/>
                <w:sz w:val="24"/>
                <w:szCs w:val="24"/>
              </w:rPr>
            </w:pPr>
            <w:r w:rsidRPr="0048257A">
              <w:rPr>
                <w:b/>
                <w:sz w:val="24"/>
                <w:szCs w:val="24"/>
              </w:rPr>
              <w:t>Chair</w:t>
            </w:r>
          </w:p>
        </w:tc>
        <w:tc>
          <w:tcPr>
            <w:tcW w:w="4301" w:type="pct"/>
            <w:gridSpan w:val="2"/>
          </w:tcPr>
          <w:p w14:paraId="77E24E22" w14:textId="1E292EA5" w:rsidR="006E3C72" w:rsidRPr="006563B0" w:rsidRDefault="000C30E1" w:rsidP="00226F36">
            <w:pPr>
              <w:rPr>
                <w:b/>
              </w:rPr>
            </w:pPr>
            <w:r w:rsidRPr="006563B0">
              <w:rPr>
                <w:b/>
              </w:rPr>
              <w:t>Raj Singh</w:t>
            </w:r>
            <w:r w:rsidR="003041E5" w:rsidRPr="006563B0">
              <w:rPr>
                <w:b/>
              </w:rPr>
              <w:t xml:space="preserve"> </w:t>
            </w:r>
          </w:p>
        </w:tc>
      </w:tr>
      <w:tr w:rsidR="006E3C72" w14:paraId="7951AE0A" w14:textId="77777777" w:rsidTr="00F27B52">
        <w:tc>
          <w:tcPr>
            <w:tcW w:w="699" w:type="pct"/>
            <w:gridSpan w:val="2"/>
            <w:shd w:val="clear" w:color="auto" w:fill="E5DFEC" w:themeFill="accent4" w:themeFillTint="33"/>
          </w:tcPr>
          <w:p w14:paraId="05A419AF" w14:textId="77777777" w:rsidR="006E3C72" w:rsidRPr="0048257A" w:rsidRDefault="006E3C72" w:rsidP="006E3C72">
            <w:pPr>
              <w:rPr>
                <w:b/>
                <w:sz w:val="24"/>
                <w:szCs w:val="24"/>
              </w:rPr>
            </w:pPr>
            <w:r w:rsidRPr="0048257A">
              <w:rPr>
                <w:b/>
                <w:sz w:val="24"/>
                <w:szCs w:val="24"/>
              </w:rPr>
              <w:t>Minutes by</w:t>
            </w:r>
          </w:p>
        </w:tc>
        <w:tc>
          <w:tcPr>
            <w:tcW w:w="4301" w:type="pct"/>
            <w:gridSpan w:val="2"/>
          </w:tcPr>
          <w:p w14:paraId="0379F8FD" w14:textId="71066A4E" w:rsidR="006E3C72" w:rsidRPr="006563B0" w:rsidRDefault="00073A5A" w:rsidP="006E3C72">
            <w:pPr>
              <w:rPr>
                <w:b/>
              </w:rPr>
            </w:pPr>
            <w:r w:rsidRPr="006563B0">
              <w:rPr>
                <w:b/>
              </w:rPr>
              <w:t>Theresa McKay</w:t>
            </w:r>
            <w:r w:rsidR="003041E5" w:rsidRPr="006563B0">
              <w:rPr>
                <w:b/>
              </w:rPr>
              <w:t xml:space="preserve"> </w:t>
            </w:r>
          </w:p>
        </w:tc>
      </w:tr>
      <w:tr w:rsidR="008B3974" w14:paraId="26936848" w14:textId="77777777" w:rsidTr="00F27B52">
        <w:tc>
          <w:tcPr>
            <w:tcW w:w="195" w:type="pct"/>
          </w:tcPr>
          <w:p w14:paraId="74098677" w14:textId="77777777" w:rsidR="008B3974" w:rsidRDefault="008B3974">
            <w:pPr>
              <w:rPr>
                <w:b/>
              </w:rPr>
            </w:pPr>
          </w:p>
        </w:tc>
        <w:tc>
          <w:tcPr>
            <w:tcW w:w="4805" w:type="pct"/>
            <w:gridSpan w:val="3"/>
          </w:tcPr>
          <w:p w14:paraId="3D5819F3" w14:textId="77777777" w:rsidR="001A34BC" w:rsidRDefault="001A34BC">
            <w:pPr>
              <w:rPr>
                <w:b/>
              </w:rPr>
            </w:pPr>
          </w:p>
          <w:p w14:paraId="2C788502" w14:textId="77777777" w:rsidR="001A34BC" w:rsidRDefault="001A34BC">
            <w:pPr>
              <w:rPr>
                <w:b/>
              </w:rPr>
            </w:pPr>
          </w:p>
        </w:tc>
      </w:tr>
      <w:tr w:rsidR="008B3974" w14:paraId="7E48B16F" w14:textId="77777777" w:rsidTr="00F27B52">
        <w:tc>
          <w:tcPr>
            <w:tcW w:w="195" w:type="pct"/>
            <w:shd w:val="clear" w:color="auto" w:fill="E5DFEC" w:themeFill="accent4" w:themeFillTint="33"/>
          </w:tcPr>
          <w:p w14:paraId="001461BC" w14:textId="77777777" w:rsidR="008B3974" w:rsidRDefault="00226F3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81" w:type="pct"/>
            <w:gridSpan w:val="2"/>
            <w:shd w:val="clear" w:color="auto" w:fill="E5DFEC" w:themeFill="accent4" w:themeFillTint="33"/>
          </w:tcPr>
          <w:p w14:paraId="28F61907" w14:textId="47015055" w:rsidR="008B3974" w:rsidRDefault="001E18F1" w:rsidP="007438DB">
            <w:pPr>
              <w:rPr>
                <w:b/>
              </w:rPr>
            </w:pPr>
            <w:r w:rsidRPr="009D2903">
              <w:rPr>
                <w:rFonts w:cstheme="minorHAnsi"/>
                <w:b/>
                <w:bCs/>
                <w:sz w:val="24"/>
                <w:szCs w:val="24"/>
              </w:rPr>
              <w:t>Welcome and Apologies</w:t>
            </w:r>
          </w:p>
        </w:tc>
        <w:tc>
          <w:tcPr>
            <w:tcW w:w="624" w:type="pct"/>
            <w:shd w:val="clear" w:color="auto" w:fill="E5DFEC" w:themeFill="accent4" w:themeFillTint="33"/>
          </w:tcPr>
          <w:p w14:paraId="042AF013" w14:textId="77777777" w:rsidR="008B3974" w:rsidRDefault="00226F36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8B3974" w14:paraId="0897DEBB" w14:textId="77777777" w:rsidTr="00F27B52">
        <w:tc>
          <w:tcPr>
            <w:tcW w:w="195" w:type="pct"/>
          </w:tcPr>
          <w:p w14:paraId="0F31F3E5" w14:textId="5241CE52" w:rsidR="0048257A" w:rsidRDefault="0048257A">
            <w:pPr>
              <w:rPr>
                <w:b/>
              </w:rPr>
            </w:pPr>
          </w:p>
        </w:tc>
        <w:tc>
          <w:tcPr>
            <w:tcW w:w="4181" w:type="pct"/>
            <w:gridSpan w:val="2"/>
          </w:tcPr>
          <w:p w14:paraId="107906F3" w14:textId="028826BF" w:rsidR="005524D0" w:rsidRPr="008738EB" w:rsidRDefault="004E1C4F" w:rsidP="00226F36">
            <w:pPr>
              <w:rPr>
                <w:bCs/>
              </w:rPr>
            </w:pPr>
            <w:r w:rsidRPr="008738EB">
              <w:rPr>
                <w:bCs/>
              </w:rPr>
              <w:t xml:space="preserve">Introduction </w:t>
            </w:r>
            <w:r w:rsidR="000E6996" w:rsidRPr="008738EB">
              <w:rPr>
                <w:bCs/>
              </w:rPr>
              <w:t>from Raj Singh and the new NE Region NASMA cha</w:t>
            </w:r>
            <w:r w:rsidR="00B411CC" w:rsidRPr="008738EB">
              <w:rPr>
                <w:bCs/>
              </w:rPr>
              <w:t xml:space="preserve">ir. Co-Chair alongside Theresa McKay. </w:t>
            </w:r>
          </w:p>
        </w:tc>
        <w:tc>
          <w:tcPr>
            <w:tcW w:w="624" w:type="pct"/>
          </w:tcPr>
          <w:p w14:paraId="0E0C4AA2" w14:textId="0AA5A165" w:rsidR="008B3974" w:rsidRPr="00267383" w:rsidRDefault="008B3974">
            <w:pPr>
              <w:rPr>
                <w:bCs/>
              </w:rPr>
            </w:pPr>
          </w:p>
        </w:tc>
      </w:tr>
      <w:tr w:rsidR="008B3974" w14:paraId="268FE717" w14:textId="77777777" w:rsidTr="00F27B52">
        <w:tc>
          <w:tcPr>
            <w:tcW w:w="195" w:type="pct"/>
            <w:shd w:val="clear" w:color="auto" w:fill="E5DFEC" w:themeFill="accent4" w:themeFillTint="33"/>
          </w:tcPr>
          <w:p w14:paraId="4548500D" w14:textId="77777777" w:rsidR="008B3974" w:rsidRDefault="00226F3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81" w:type="pct"/>
            <w:gridSpan w:val="2"/>
            <w:shd w:val="clear" w:color="auto" w:fill="E5DFEC" w:themeFill="accent4" w:themeFillTint="33"/>
          </w:tcPr>
          <w:p w14:paraId="0233CB55" w14:textId="7ACBA15A" w:rsidR="008B3974" w:rsidRDefault="00C0252C">
            <w:pPr>
              <w:rPr>
                <w:b/>
              </w:rPr>
            </w:pPr>
            <w:r>
              <w:rPr>
                <w:b/>
              </w:rPr>
              <w:t>Conflicts of Interest</w:t>
            </w:r>
          </w:p>
        </w:tc>
        <w:tc>
          <w:tcPr>
            <w:tcW w:w="624" w:type="pct"/>
            <w:shd w:val="clear" w:color="auto" w:fill="E5DFEC" w:themeFill="accent4" w:themeFillTint="33"/>
          </w:tcPr>
          <w:p w14:paraId="180C2FBB" w14:textId="77777777" w:rsidR="008B3974" w:rsidRDefault="00226F36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8B3974" w14:paraId="1DFBC90B" w14:textId="77777777" w:rsidTr="00F27B52">
        <w:tc>
          <w:tcPr>
            <w:tcW w:w="195" w:type="pct"/>
          </w:tcPr>
          <w:p w14:paraId="79A112C7" w14:textId="77777777" w:rsidR="008B3974" w:rsidRDefault="008B3974">
            <w:pPr>
              <w:rPr>
                <w:b/>
              </w:rPr>
            </w:pPr>
          </w:p>
          <w:p w14:paraId="335A49B0" w14:textId="77777777" w:rsidR="0096563E" w:rsidRDefault="0096563E">
            <w:pPr>
              <w:rPr>
                <w:b/>
              </w:rPr>
            </w:pPr>
          </w:p>
          <w:p w14:paraId="29C9C645" w14:textId="77777777" w:rsidR="0096563E" w:rsidRDefault="0096563E">
            <w:pPr>
              <w:rPr>
                <w:b/>
              </w:rPr>
            </w:pPr>
          </w:p>
        </w:tc>
        <w:tc>
          <w:tcPr>
            <w:tcW w:w="4181" w:type="pct"/>
            <w:gridSpan w:val="2"/>
          </w:tcPr>
          <w:p w14:paraId="2F6FD9E1" w14:textId="5C3A31CA" w:rsidR="00E20763" w:rsidRPr="004D02E9" w:rsidRDefault="00C0252C" w:rsidP="004D02E9">
            <w:pPr>
              <w:rPr>
                <w:bCs/>
              </w:rPr>
            </w:pPr>
            <w:r w:rsidRPr="00EE0F78">
              <w:rPr>
                <w:bCs/>
              </w:rPr>
              <w:t>None declared</w:t>
            </w:r>
          </w:p>
        </w:tc>
        <w:tc>
          <w:tcPr>
            <w:tcW w:w="624" w:type="pct"/>
          </w:tcPr>
          <w:p w14:paraId="7106691F" w14:textId="77777777" w:rsidR="008B3974" w:rsidRDefault="008B3974">
            <w:pPr>
              <w:rPr>
                <w:b/>
              </w:rPr>
            </w:pPr>
          </w:p>
        </w:tc>
      </w:tr>
      <w:tr w:rsidR="008B3974" w14:paraId="1DCA7EEB" w14:textId="77777777" w:rsidTr="00F27B52">
        <w:tc>
          <w:tcPr>
            <w:tcW w:w="195" w:type="pct"/>
            <w:shd w:val="clear" w:color="auto" w:fill="E5DFEC" w:themeFill="accent4" w:themeFillTint="33"/>
          </w:tcPr>
          <w:p w14:paraId="5F5C6B5C" w14:textId="77777777" w:rsidR="008B3974" w:rsidRDefault="00226F3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81" w:type="pct"/>
            <w:gridSpan w:val="2"/>
            <w:shd w:val="clear" w:color="auto" w:fill="E5DFEC" w:themeFill="accent4" w:themeFillTint="33"/>
          </w:tcPr>
          <w:p w14:paraId="778F8362" w14:textId="3BAA6A0A" w:rsidR="008B3974" w:rsidRDefault="003B6300">
            <w:pPr>
              <w:rPr>
                <w:b/>
              </w:rPr>
            </w:pPr>
            <w:r w:rsidRPr="009D2903">
              <w:rPr>
                <w:rFonts w:cstheme="minorHAnsi"/>
                <w:b/>
                <w:bCs/>
                <w:sz w:val="24"/>
                <w:szCs w:val="24"/>
              </w:rPr>
              <w:t>LLE – Open Discussion</w:t>
            </w:r>
          </w:p>
        </w:tc>
        <w:tc>
          <w:tcPr>
            <w:tcW w:w="624" w:type="pct"/>
            <w:shd w:val="clear" w:color="auto" w:fill="E5DFEC" w:themeFill="accent4" w:themeFillTint="33"/>
          </w:tcPr>
          <w:p w14:paraId="57B03412" w14:textId="77777777" w:rsidR="008B3974" w:rsidRDefault="00226F36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8B3974" w14:paraId="3A900FFC" w14:textId="77777777" w:rsidTr="00F27B52">
        <w:trPr>
          <w:trHeight w:val="1264"/>
        </w:trPr>
        <w:tc>
          <w:tcPr>
            <w:tcW w:w="195" w:type="pct"/>
          </w:tcPr>
          <w:p w14:paraId="7C73B1D1" w14:textId="77777777" w:rsidR="008B3974" w:rsidRDefault="008B3974" w:rsidP="00D2404D">
            <w:pPr>
              <w:rPr>
                <w:b/>
              </w:rPr>
            </w:pPr>
          </w:p>
        </w:tc>
        <w:tc>
          <w:tcPr>
            <w:tcW w:w="4181" w:type="pct"/>
            <w:gridSpan w:val="2"/>
          </w:tcPr>
          <w:p w14:paraId="4B7A17C8" w14:textId="78E5EA68" w:rsidR="002A0094" w:rsidRPr="00E858C1" w:rsidRDefault="002A0094" w:rsidP="002A0094">
            <w:pPr>
              <w:spacing w:after="160" w:line="259" w:lineRule="auto"/>
              <w:rPr>
                <w:rFonts w:cstheme="minorHAnsi"/>
              </w:rPr>
            </w:pPr>
            <w:r w:rsidRPr="00E858C1">
              <w:rPr>
                <w:rFonts w:cstheme="minorHAnsi"/>
              </w:rPr>
              <w:t xml:space="preserve">RS discussed the following key points relating to LLE </w:t>
            </w:r>
          </w:p>
          <w:p w14:paraId="2B2211FB" w14:textId="77777777" w:rsidR="001B35DD" w:rsidRPr="00E858C1" w:rsidRDefault="001B35DD" w:rsidP="00C76AB6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E858C1">
              <w:rPr>
                <w:rFonts w:eastAsia="Times New Roman" w:cstheme="minorHAnsi"/>
                <w:lang w:eastAsia="en-GB"/>
              </w:rPr>
              <w:t>Ongoing uncertainty across the sector and NASMA despite attending SLC/DfE roadshows.</w:t>
            </w:r>
          </w:p>
          <w:p w14:paraId="55189C74" w14:textId="77777777" w:rsidR="001B35DD" w:rsidRPr="00E858C1" w:rsidRDefault="001B35DD" w:rsidP="00C76AB6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E858C1">
              <w:rPr>
                <w:rFonts w:eastAsia="Times New Roman" w:cstheme="minorHAnsi"/>
                <w:lang w:eastAsia="en-GB"/>
              </w:rPr>
              <w:t xml:space="preserve">Key outstanding questions: </w:t>
            </w:r>
          </w:p>
          <w:p w14:paraId="2C36F8EA" w14:textId="77777777" w:rsidR="001B35DD" w:rsidRPr="00E858C1" w:rsidRDefault="001B35DD" w:rsidP="00C76AB6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E858C1">
              <w:rPr>
                <w:rFonts w:eastAsia="Times New Roman" w:cstheme="minorHAnsi"/>
                <w:lang w:eastAsia="en-GB"/>
              </w:rPr>
              <w:t>Maintenance loan payment schedule, potential changes and impact on accommodation charges, institutional policies, and hardship support.</w:t>
            </w:r>
          </w:p>
          <w:p w14:paraId="63C56FD4" w14:textId="77777777" w:rsidR="006563B0" w:rsidRDefault="001B35DD" w:rsidP="006563B0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E858C1">
              <w:rPr>
                <w:rFonts w:eastAsia="Times New Roman" w:cstheme="minorHAnsi"/>
                <w:lang w:eastAsia="en-GB"/>
              </w:rPr>
              <w:t>Operational timelines, secondary legislation recently released. Requires time for review and interpretation.</w:t>
            </w:r>
          </w:p>
          <w:p w14:paraId="5E1ACB89" w14:textId="77777777" w:rsidR="006563B0" w:rsidRDefault="001B35DD" w:rsidP="006563B0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6563B0">
              <w:rPr>
                <w:rFonts w:eastAsia="Times New Roman" w:cstheme="minorHAnsi"/>
                <w:lang w:eastAsia="en-GB"/>
              </w:rPr>
              <w:t>Concerns from SLC CMS session</w:t>
            </w:r>
            <w:r w:rsidR="006563B0">
              <w:rPr>
                <w:rFonts w:eastAsia="Times New Roman" w:cstheme="minorHAnsi"/>
                <w:lang w:eastAsia="en-GB"/>
              </w:rPr>
              <w:t xml:space="preserve">, </w:t>
            </w:r>
            <w:r w:rsidRPr="006563B0">
              <w:rPr>
                <w:rFonts w:eastAsia="Times New Roman" w:cstheme="minorHAnsi"/>
                <w:lang w:eastAsia="en-GB"/>
              </w:rPr>
              <w:t>Maintenance loan entitlement tied to number of credits studied.</w:t>
            </w:r>
          </w:p>
          <w:p w14:paraId="428705D7" w14:textId="77777777" w:rsidR="006563B0" w:rsidRDefault="001B35DD" w:rsidP="006563B0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6563B0">
              <w:rPr>
                <w:rFonts w:eastAsia="Times New Roman" w:cstheme="minorHAnsi"/>
                <w:lang w:eastAsia="en-GB"/>
              </w:rPr>
              <w:t>Impacts students studying full-time on a part-time basis or repeating modules.</w:t>
            </w:r>
            <w:r w:rsidR="006563B0">
              <w:rPr>
                <w:rFonts w:eastAsia="Times New Roman" w:cstheme="minorHAnsi"/>
                <w:lang w:eastAsia="en-GB"/>
              </w:rPr>
              <w:t xml:space="preserve"> </w:t>
            </w:r>
            <w:r w:rsidRPr="006563B0">
              <w:rPr>
                <w:rFonts w:eastAsia="Times New Roman" w:cstheme="minorHAnsi"/>
                <w:lang w:eastAsia="en-GB"/>
              </w:rPr>
              <w:t>Risk of financial disadvantage for vulnerable students, potentially affecting course completion.</w:t>
            </w:r>
          </w:p>
          <w:p w14:paraId="2E280E46" w14:textId="3CAB2BE2" w:rsidR="001B35DD" w:rsidRPr="006563B0" w:rsidRDefault="001B35DD" w:rsidP="006563B0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6563B0">
              <w:rPr>
                <w:rFonts w:eastAsia="Times New Roman" w:cstheme="minorHAnsi"/>
                <w:lang w:eastAsia="en-GB"/>
              </w:rPr>
              <w:t>Need for clear student IAG on financial implications of study choices.</w:t>
            </w:r>
            <w:r w:rsidR="006563B0">
              <w:rPr>
                <w:rFonts w:eastAsia="Times New Roman" w:cstheme="minorHAnsi"/>
                <w:lang w:eastAsia="en-GB"/>
              </w:rPr>
              <w:t xml:space="preserve"> </w:t>
            </w:r>
            <w:r w:rsidRPr="006563B0">
              <w:rPr>
                <w:rFonts w:eastAsia="Times New Roman" w:cstheme="minorHAnsi"/>
                <w:lang w:eastAsia="en-GB"/>
              </w:rPr>
              <w:t>Risk of staff using outdated (legacy) knowledge when advising students.</w:t>
            </w:r>
          </w:p>
          <w:p w14:paraId="27E0A8CC" w14:textId="3119A3B2" w:rsidR="001B35DD" w:rsidRPr="006563B0" w:rsidRDefault="001B35DD" w:rsidP="001B35DD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E858C1">
              <w:rPr>
                <w:rFonts w:eastAsia="Times New Roman" w:cstheme="minorHAnsi"/>
                <w:lang w:eastAsia="en-GB"/>
              </w:rPr>
              <w:t>Potential increase in hardship funding demand due to reduced entitlement.</w:t>
            </w:r>
          </w:p>
          <w:p w14:paraId="6BFDA8B6" w14:textId="297BB4CA" w:rsidR="001B35DD" w:rsidRPr="006563B0" w:rsidRDefault="001B35DD" w:rsidP="006563B0">
            <w:pPr>
              <w:numPr>
                <w:ilvl w:val="0"/>
                <w:numId w:val="11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E858C1">
              <w:rPr>
                <w:rFonts w:eastAsia="Times New Roman" w:cstheme="minorHAnsi"/>
                <w:lang w:eastAsia="en-GB"/>
              </w:rPr>
              <w:t>Increased admin burden due to running dual systems (current + LLE).</w:t>
            </w:r>
            <w:r w:rsidR="006563B0">
              <w:rPr>
                <w:rFonts w:eastAsia="Times New Roman" w:cstheme="minorHAnsi"/>
                <w:lang w:eastAsia="en-GB"/>
              </w:rPr>
              <w:t xml:space="preserve"> </w:t>
            </w:r>
            <w:r w:rsidRPr="006563B0">
              <w:rPr>
                <w:rFonts w:eastAsia="Times New Roman" w:cstheme="minorHAnsi"/>
                <w:lang w:eastAsia="en-GB"/>
              </w:rPr>
              <w:t xml:space="preserve">Requirement to upload courses/modules into SLC CMS. No confirmed bulk upload function </w:t>
            </w:r>
            <w:proofErr w:type="gramStart"/>
            <w:r w:rsidRPr="006563B0">
              <w:rPr>
                <w:rFonts w:eastAsia="Times New Roman" w:cstheme="minorHAnsi"/>
                <w:lang w:eastAsia="en-GB"/>
              </w:rPr>
              <w:t>as yet</w:t>
            </w:r>
            <w:proofErr w:type="gramEnd"/>
            <w:r w:rsidRPr="006563B0">
              <w:rPr>
                <w:rFonts w:eastAsia="Times New Roman" w:cstheme="minorHAnsi"/>
                <w:lang w:eastAsia="en-GB"/>
              </w:rPr>
              <w:t>.</w:t>
            </w:r>
          </w:p>
          <w:p w14:paraId="7D3E35BD" w14:textId="77777777" w:rsidR="001B35DD" w:rsidRDefault="001B35DD" w:rsidP="00C76AB6">
            <w:pPr>
              <w:numPr>
                <w:ilvl w:val="0"/>
                <w:numId w:val="11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E858C1">
              <w:rPr>
                <w:rFonts w:eastAsia="Times New Roman" w:cstheme="minorHAnsi"/>
                <w:lang w:eastAsia="en-GB"/>
              </w:rPr>
              <w:t>Concerns about meeting deadlines. SLC advised to raises concerns to them directly with a potential to then delay application deadline.</w:t>
            </w:r>
          </w:p>
          <w:p w14:paraId="1BA0F6EF" w14:textId="77777777" w:rsidR="006563B0" w:rsidRPr="00E858C1" w:rsidRDefault="006563B0" w:rsidP="006563B0">
            <w:pPr>
              <w:spacing w:before="100" w:beforeAutospacing="1" w:after="100" w:afterAutospacing="1" w:line="300" w:lineRule="atLeast"/>
              <w:ind w:left="720"/>
              <w:rPr>
                <w:rFonts w:eastAsia="Times New Roman" w:cstheme="minorHAnsi"/>
                <w:lang w:eastAsia="en-GB"/>
              </w:rPr>
            </w:pPr>
          </w:p>
          <w:p w14:paraId="6A8BC910" w14:textId="19593B2B" w:rsidR="001B35DD" w:rsidRPr="006563B0" w:rsidRDefault="006563B0" w:rsidP="006563B0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6563B0">
              <w:rPr>
                <w:rFonts w:eastAsia="Times New Roman" w:cstheme="minorHAnsi"/>
                <w:lang w:eastAsia="en-GB"/>
              </w:rPr>
              <w:t>Institutional preparation for 27/28</w:t>
            </w:r>
            <w:r w:rsidRPr="006563B0">
              <w:rPr>
                <w:rFonts w:eastAsia="Times New Roman" w:cstheme="minorHAnsi"/>
                <w:lang w:eastAsia="en-GB"/>
              </w:rPr>
              <w:t>, E</w:t>
            </w:r>
            <w:r w:rsidR="001B35DD" w:rsidRPr="006563B0">
              <w:rPr>
                <w:rFonts w:eastAsia="Times New Roman" w:cstheme="minorHAnsi"/>
                <w:lang w:eastAsia="en-GB"/>
              </w:rPr>
              <w:t>stablishment of small LLE working group. Focus areas have been marketing, prospectus, budgeting, financial readiness, and staff awareness (support, welfare, disability services).</w:t>
            </w:r>
          </w:p>
          <w:p w14:paraId="0FAD5A75" w14:textId="77777777" w:rsidR="001B35DD" w:rsidRPr="00E858C1" w:rsidRDefault="001B35DD" w:rsidP="00C76AB6">
            <w:pPr>
              <w:numPr>
                <w:ilvl w:val="0"/>
                <w:numId w:val="12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E858C1">
              <w:rPr>
                <w:rFonts w:eastAsia="Times New Roman" w:cstheme="minorHAnsi"/>
                <w:lang w:eastAsia="en-GB"/>
              </w:rPr>
              <w:t>Supported by a wider institutional group.</w:t>
            </w:r>
          </w:p>
          <w:p w14:paraId="087406B6" w14:textId="77777777" w:rsidR="001B35DD" w:rsidRPr="00E858C1" w:rsidRDefault="001B35DD" w:rsidP="00C76AB6">
            <w:pPr>
              <w:numPr>
                <w:ilvl w:val="0"/>
                <w:numId w:val="12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E858C1">
              <w:rPr>
                <w:rFonts w:eastAsia="Times New Roman" w:cstheme="minorHAnsi"/>
                <w:lang w:eastAsia="en-GB"/>
              </w:rPr>
              <w:lastRenderedPageBreak/>
              <w:t>Work evolving in line with DfE/SLC updates.</w:t>
            </w:r>
          </w:p>
          <w:p w14:paraId="66321D2D" w14:textId="77777777" w:rsidR="001B35DD" w:rsidRPr="00E858C1" w:rsidRDefault="001B35DD" w:rsidP="001B35DD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E858C1">
              <w:rPr>
                <w:rFonts w:eastAsia="Times New Roman" w:cstheme="minorHAnsi"/>
                <w:lang w:eastAsia="en-GB"/>
              </w:rPr>
              <w:t>Feedback from members</w:t>
            </w:r>
          </w:p>
          <w:p w14:paraId="2B9635DE" w14:textId="77777777" w:rsidR="001B35DD" w:rsidRPr="00E858C1" w:rsidRDefault="001B35DD" w:rsidP="00C76AB6">
            <w:pPr>
              <w:numPr>
                <w:ilvl w:val="0"/>
                <w:numId w:val="13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E858C1">
              <w:rPr>
                <w:rFonts w:eastAsia="Times New Roman" w:cstheme="minorHAnsi"/>
                <w:lang w:eastAsia="en-GB"/>
              </w:rPr>
              <w:t>Similar working group approach across institutions.</w:t>
            </w:r>
          </w:p>
          <w:p w14:paraId="3C9D5C6A" w14:textId="77777777" w:rsidR="001B35DD" w:rsidRPr="00E858C1" w:rsidRDefault="001B35DD" w:rsidP="00C76AB6">
            <w:pPr>
              <w:numPr>
                <w:ilvl w:val="0"/>
                <w:numId w:val="13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E858C1">
              <w:rPr>
                <w:rFonts w:eastAsia="Times New Roman" w:cstheme="minorHAnsi"/>
                <w:lang w:eastAsia="en-GB"/>
              </w:rPr>
              <w:t>Emphasis on communicating changes to departments involved at key student journey points.</w:t>
            </w:r>
          </w:p>
          <w:p w14:paraId="7BEF3562" w14:textId="77777777" w:rsidR="001B35DD" w:rsidRPr="00E858C1" w:rsidRDefault="001B35DD" w:rsidP="00C76AB6">
            <w:pPr>
              <w:numPr>
                <w:ilvl w:val="0"/>
                <w:numId w:val="13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E858C1">
              <w:rPr>
                <w:rFonts w:eastAsia="Times New Roman" w:cstheme="minorHAnsi"/>
                <w:lang w:eastAsia="en-GB"/>
              </w:rPr>
              <w:t xml:space="preserve">Challenges </w:t>
            </w:r>
            <w:proofErr w:type="gramStart"/>
            <w:r w:rsidRPr="00E858C1">
              <w:rPr>
                <w:rFonts w:eastAsia="Times New Roman" w:cstheme="minorHAnsi"/>
                <w:lang w:eastAsia="en-GB"/>
              </w:rPr>
              <w:t>include,</w:t>
            </w:r>
            <w:proofErr w:type="gramEnd"/>
            <w:r w:rsidRPr="00E858C1">
              <w:rPr>
                <w:rFonts w:eastAsia="Times New Roman" w:cstheme="minorHAnsi"/>
                <w:lang w:eastAsia="en-GB"/>
              </w:rPr>
              <w:t xml:space="preserve"> alignment with financial regulations and fee liability rules. Managing increasingly complex student circumstances (e.g. withdrawals, returns under LLE</w:t>
            </w:r>
            <w:proofErr w:type="gramStart"/>
            <w:r w:rsidRPr="00E858C1">
              <w:rPr>
                <w:rFonts w:eastAsia="Times New Roman" w:cstheme="minorHAnsi"/>
                <w:lang w:eastAsia="en-GB"/>
              </w:rPr>
              <w:t>).Ensuring</w:t>
            </w:r>
            <w:proofErr w:type="gramEnd"/>
            <w:r w:rsidRPr="00E858C1">
              <w:rPr>
                <w:rFonts w:eastAsia="Times New Roman" w:cstheme="minorHAnsi"/>
                <w:lang w:eastAsia="en-GB"/>
              </w:rPr>
              <w:t xml:space="preserve"> institution wide awareness of imminent changes.</w:t>
            </w:r>
          </w:p>
          <w:p w14:paraId="22DFD981" w14:textId="77777777" w:rsidR="001B35DD" w:rsidRPr="00E858C1" w:rsidRDefault="001B35DD" w:rsidP="00C76AB6">
            <w:pPr>
              <w:numPr>
                <w:ilvl w:val="0"/>
                <w:numId w:val="13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E858C1">
              <w:rPr>
                <w:rFonts w:eastAsia="Times New Roman" w:cstheme="minorHAnsi"/>
                <w:lang w:eastAsia="en-GB"/>
              </w:rPr>
              <w:t>Concerns about student application journey under LLE. Whether SLC will manage issues effectively. Risk of implementation issues similar funding changes that have happened previously in Master’s Loans.</w:t>
            </w:r>
          </w:p>
          <w:p w14:paraId="00A7E8BB" w14:textId="77777777" w:rsidR="001B35DD" w:rsidRPr="00E858C1" w:rsidRDefault="001B35DD" w:rsidP="001B35DD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E858C1">
              <w:rPr>
                <w:rFonts w:eastAsia="Times New Roman" w:cstheme="minorHAnsi"/>
                <w:lang w:eastAsia="en-GB"/>
              </w:rPr>
              <w:t xml:space="preserve"> Questions &amp; discussion</w:t>
            </w:r>
          </w:p>
          <w:p w14:paraId="4498109F" w14:textId="77777777" w:rsidR="001B35DD" w:rsidRPr="00E858C1" w:rsidRDefault="001B35DD" w:rsidP="00C76AB6">
            <w:pPr>
              <w:numPr>
                <w:ilvl w:val="0"/>
                <w:numId w:val="14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E858C1">
              <w:rPr>
                <w:rFonts w:eastAsia="Times New Roman" w:cstheme="minorHAnsi"/>
                <w:lang w:eastAsia="en-GB"/>
              </w:rPr>
              <w:t>No additional questions raised.</w:t>
            </w:r>
          </w:p>
          <w:p w14:paraId="18C27091" w14:textId="77777777" w:rsidR="001B35DD" w:rsidRPr="00E858C1" w:rsidRDefault="001B35DD" w:rsidP="00C76AB6">
            <w:pPr>
              <w:numPr>
                <w:ilvl w:val="0"/>
                <w:numId w:val="14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E858C1">
              <w:rPr>
                <w:rFonts w:eastAsia="Times New Roman" w:cstheme="minorHAnsi"/>
                <w:lang w:eastAsia="en-GB"/>
              </w:rPr>
              <w:t>General agreement on shared challenges and emerging risks.</w:t>
            </w:r>
          </w:p>
          <w:p w14:paraId="759829C6" w14:textId="41BAC474" w:rsidR="00CF6CBF" w:rsidRPr="00CF6CBF" w:rsidRDefault="00CF6CBF" w:rsidP="001B35DD">
            <w:pPr>
              <w:spacing w:after="160" w:line="259" w:lineRule="auto"/>
              <w:rPr>
                <w:rFonts w:eastAsia="Times New Roman"/>
              </w:rPr>
            </w:pPr>
          </w:p>
        </w:tc>
        <w:tc>
          <w:tcPr>
            <w:tcW w:w="624" w:type="pct"/>
          </w:tcPr>
          <w:p w14:paraId="00F10D18" w14:textId="51B7AB7D" w:rsidR="008B3974" w:rsidRPr="005C6D9F" w:rsidRDefault="008B3974" w:rsidP="00D2404D">
            <w:pPr>
              <w:rPr>
                <w:bCs/>
                <w:color w:val="FF0000"/>
              </w:rPr>
            </w:pPr>
          </w:p>
        </w:tc>
      </w:tr>
      <w:tr w:rsidR="00A94D45" w14:paraId="075BA071" w14:textId="77777777" w:rsidTr="00F27B52">
        <w:tc>
          <w:tcPr>
            <w:tcW w:w="195" w:type="pct"/>
            <w:shd w:val="clear" w:color="auto" w:fill="E5DFEC" w:themeFill="accent4" w:themeFillTint="33"/>
          </w:tcPr>
          <w:p w14:paraId="2254D9EE" w14:textId="4EB6B43F" w:rsidR="00A94D45" w:rsidRDefault="0007181C" w:rsidP="00A94D4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81" w:type="pct"/>
            <w:gridSpan w:val="2"/>
            <w:shd w:val="clear" w:color="auto" w:fill="E5DFEC" w:themeFill="accent4" w:themeFillTint="33"/>
          </w:tcPr>
          <w:p w14:paraId="2C39546E" w14:textId="47388452" w:rsidR="00A94D45" w:rsidRPr="00AA64E7" w:rsidRDefault="00AA64E7" w:rsidP="00A94D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D2903">
              <w:rPr>
                <w:rFonts w:cstheme="minorHAnsi"/>
                <w:b/>
                <w:bCs/>
                <w:sz w:val="24"/>
                <w:szCs w:val="24"/>
              </w:rPr>
              <w:t>US Federal Loan Changes</w:t>
            </w:r>
          </w:p>
        </w:tc>
        <w:tc>
          <w:tcPr>
            <w:tcW w:w="624" w:type="pct"/>
            <w:shd w:val="clear" w:color="auto" w:fill="E5DFEC" w:themeFill="accent4" w:themeFillTint="33"/>
          </w:tcPr>
          <w:p w14:paraId="2E68D90D" w14:textId="7DA52F09" w:rsidR="00A94D45" w:rsidRDefault="00A94D45" w:rsidP="00A94D45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A94D45" w14:paraId="0C9B6906" w14:textId="77777777" w:rsidTr="00F27B52">
        <w:tc>
          <w:tcPr>
            <w:tcW w:w="195" w:type="pct"/>
          </w:tcPr>
          <w:p w14:paraId="6126C4EC" w14:textId="45FB8589" w:rsidR="00A94D45" w:rsidRDefault="00A94D45" w:rsidP="00A94D45">
            <w:pPr>
              <w:rPr>
                <w:b/>
              </w:rPr>
            </w:pPr>
          </w:p>
        </w:tc>
        <w:tc>
          <w:tcPr>
            <w:tcW w:w="4181" w:type="pct"/>
            <w:gridSpan w:val="2"/>
          </w:tcPr>
          <w:p w14:paraId="27580367" w14:textId="3FD2086B" w:rsidR="00D96D6B" w:rsidRPr="00C71EAE" w:rsidRDefault="00CD20A7" w:rsidP="00D96D6B">
            <w:pPr>
              <w:spacing w:after="160"/>
            </w:pPr>
            <w:r>
              <w:t xml:space="preserve">RS </w:t>
            </w:r>
          </w:p>
          <w:p w14:paraId="76874B80" w14:textId="0F03DD45" w:rsidR="00D96D6B" w:rsidRPr="00C71EAE" w:rsidRDefault="00CD20A7" w:rsidP="00C76AB6">
            <w:pPr>
              <w:numPr>
                <w:ilvl w:val="0"/>
                <w:numId w:val="2"/>
              </w:numPr>
              <w:spacing w:after="160"/>
            </w:pPr>
            <w:r>
              <w:t xml:space="preserve">US </w:t>
            </w:r>
            <w:r w:rsidRPr="00C71EAE">
              <w:t xml:space="preserve">Policy &amp; Regulatory Changes </w:t>
            </w:r>
            <w:r w:rsidR="00D96D6B" w:rsidRPr="00C71EAE">
              <w:t>take effect for the 26/27 academic year.</w:t>
            </w:r>
          </w:p>
          <w:p w14:paraId="3F685979" w14:textId="77777777" w:rsidR="00D96D6B" w:rsidRPr="00C71EAE" w:rsidRDefault="00D96D6B" w:rsidP="00C76AB6">
            <w:pPr>
              <w:numPr>
                <w:ilvl w:val="0"/>
                <w:numId w:val="2"/>
              </w:numPr>
              <w:spacing w:after="160"/>
            </w:pPr>
            <w:r w:rsidRPr="00C71EAE">
              <w:t>Sector wide approach currently consistent, waiting until 1 July to release cost of attendance forms and final guidance.</w:t>
            </w:r>
          </w:p>
          <w:p w14:paraId="213D470F" w14:textId="77777777" w:rsidR="00D96D6B" w:rsidRPr="00C71EAE" w:rsidRDefault="00D96D6B" w:rsidP="00C76AB6">
            <w:pPr>
              <w:numPr>
                <w:ilvl w:val="0"/>
                <w:numId w:val="2"/>
              </w:numPr>
              <w:spacing w:after="160"/>
            </w:pPr>
            <w:r w:rsidRPr="00C71EAE">
              <w:t>Grad PLUS loans eliminated for new borrowers from 1 July.</w:t>
            </w:r>
          </w:p>
          <w:p w14:paraId="46DBC498" w14:textId="77777777" w:rsidR="00D96D6B" w:rsidRPr="00C71EAE" w:rsidRDefault="00D96D6B" w:rsidP="00C76AB6">
            <w:pPr>
              <w:numPr>
                <w:ilvl w:val="0"/>
                <w:numId w:val="2"/>
              </w:numPr>
              <w:spacing w:after="160"/>
            </w:pPr>
            <w:r w:rsidRPr="00C71EAE">
              <w:t>New federal borrowing caps introduced</w:t>
            </w:r>
            <w:r>
              <w:t xml:space="preserve">. </w:t>
            </w:r>
            <w:r w:rsidRPr="00C71EAE">
              <w:t>Apply to graduate study (annual and aggregate limits).</w:t>
            </w:r>
            <w:r>
              <w:t xml:space="preserve"> </w:t>
            </w:r>
            <w:r w:rsidRPr="00C71EAE">
              <w:t>Effective from January, impacting 26/27 enrolment decisions.</w:t>
            </w:r>
          </w:p>
          <w:p w14:paraId="7811D342" w14:textId="77777777" w:rsidR="00D96D6B" w:rsidRPr="00C71EAE" w:rsidRDefault="00D96D6B" w:rsidP="00C76AB6">
            <w:pPr>
              <w:numPr>
                <w:ilvl w:val="0"/>
                <w:numId w:val="2"/>
              </w:numPr>
              <w:spacing w:after="160"/>
            </w:pPr>
            <w:r w:rsidRPr="00C71EAE">
              <w:t>No federal replacement for Grad PLUS loans.</w:t>
            </w:r>
          </w:p>
          <w:p w14:paraId="30B7FB6D" w14:textId="77777777" w:rsidR="00D96D6B" w:rsidRPr="00C71EAE" w:rsidRDefault="00D96D6B" w:rsidP="00C76AB6">
            <w:pPr>
              <w:numPr>
                <w:ilvl w:val="0"/>
                <w:numId w:val="3"/>
              </w:numPr>
              <w:spacing w:after="160"/>
            </w:pPr>
            <w:r w:rsidRPr="00C71EAE">
              <w:t>Graduate unsubsidised loan limits create around a 40% funding shortfall relative to costs.</w:t>
            </w:r>
          </w:p>
          <w:p w14:paraId="1D3557C5" w14:textId="77777777" w:rsidR="00D96D6B" w:rsidRPr="00C71EAE" w:rsidRDefault="00D96D6B" w:rsidP="00C76AB6">
            <w:pPr>
              <w:numPr>
                <w:ilvl w:val="0"/>
                <w:numId w:val="3"/>
              </w:numPr>
              <w:spacing w:after="160"/>
            </w:pPr>
            <w:r w:rsidRPr="00C71EAE">
              <w:t>Similar funding gaps already seen in the UK (e.g. Master’s loans not covering full fees).</w:t>
            </w:r>
          </w:p>
          <w:p w14:paraId="2274EBDF" w14:textId="77777777" w:rsidR="00D96D6B" w:rsidRPr="00C71EAE" w:rsidRDefault="00D96D6B" w:rsidP="00C76AB6">
            <w:pPr>
              <w:numPr>
                <w:ilvl w:val="0"/>
                <w:numId w:val="3"/>
              </w:numPr>
              <w:spacing w:after="160"/>
            </w:pPr>
            <w:r w:rsidRPr="00C71EAE">
              <w:t>Risk that students may not be able to afford to attend due to reduced borrowing capacity.</w:t>
            </w:r>
          </w:p>
          <w:p w14:paraId="7A89928A" w14:textId="77777777" w:rsidR="00D96D6B" w:rsidRPr="00C71EAE" w:rsidRDefault="00D96D6B" w:rsidP="00C76AB6">
            <w:pPr>
              <w:numPr>
                <w:ilvl w:val="0"/>
                <w:numId w:val="3"/>
              </w:numPr>
              <w:spacing w:after="160"/>
            </w:pPr>
            <w:r w:rsidRPr="00C71EAE">
              <w:t>US funding still available for foreign institutions (was previously at risk).</w:t>
            </w:r>
          </w:p>
          <w:p w14:paraId="0DB43FE5" w14:textId="7CD37490" w:rsidR="00D96D6B" w:rsidRPr="00C71EAE" w:rsidRDefault="00D96D6B" w:rsidP="00C76AB6">
            <w:pPr>
              <w:numPr>
                <w:ilvl w:val="0"/>
                <w:numId w:val="4"/>
              </w:numPr>
              <w:spacing w:after="160"/>
            </w:pPr>
            <w:r w:rsidRPr="00C71EAE">
              <w:t>Cost of attendance calculator and form finalised and published</w:t>
            </w:r>
            <w:r w:rsidR="00545DD8">
              <w:t xml:space="preserve"> at Durham</w:t>
            </w:r>
            <w:r w:rsidR="00541BE9">
              <w:t>. This is c</w:t>
            </w:r>
            <w:r w:rsidRPr="00C71EAE">
              <w:t>omplex due to multiple factors</w:t>
            </w:r>
            <w:r>
              <w:t>, n</w:t>
            </w:r>
            <w:r w:rsidRPr="00C71EAE">
              <w:t>ew vs returning students</w:t>
            </w:r>
            <w:r>
              <w:t xml:space="preserve">, </w:t>
            </w:r>
            <w:r w:rsidRPr="00C71EAE">
              <w:t>Grad PLUS eligibility</w:t>
            </w:r>
            <w:r>
              <w:t xml:space="preserve">, </w:t>
            </w:r>
            <w:r w:rsidRPr="00C71EAE">
              <w:t>SAI adjustments</w:t>
            </w:r>
            <w:r>
              <w:t>, e</w:t>
            </w:r>
            <w:r w:rsidRPr="00C71EAE">
              <w:t>xception programmes (e.g. law, theology allowing &gt;£20k borrowing)</w:t>
            </w:r>
          </w:p>
          <w:p w14:paraId="5703DD53" w14:textId="77777777" w:rsidR="00D96D6B" w:rsidRPr="00C71EAE" w:rsidRDefault="00D96D6B" w:rsidP="00C76AB6">
            <w:pPr>
              <w:numPr>
                <w:ilvl w:val="0"/>
                <w:numId w:val="4"/>
              </w:numPr>
              <w:spacing w:after="160"/>
            </w:pPr>
            <w:r w:rsidRPr="00C71EAE">
              <w:t>Identified as an institutional recruitment risk.</w:t>
            </w:r>
          </w:p>
          <w:p w14:paraId="450C1DF5" w14:textId="7D26BD0A" w:rsidR="00D96D6B" w:rsidRPr="00C71EAE" w:rsidRDefault="00D96D6B" w:rsidP="00640511">
            <w:pPr>
              <w:numPr>
                <w:ilvl w:val="0"/>
                <w:numId w:val="5"/>
              </w:numPr>
              <w:spacing w:after="160"/>
            </w:pPr>
            <w:r w:rsidRPr="00C71EAE">
              <w:t>Historically</w:t>
            </w:r>
            <w:r w:rsidR="00545DD8">
              <w:t xml:space="preserve"> Durham</w:t>
            </w:r>
            <w:r w:rsidRPr="00C71EAE">
              <w:t xml:space="preserve"> partnered with Sallie Mae (due to data-sharing agreement</w:t>
            </w:r>
            <w:proofErr w:type="gramStart"/>
            <w:r w:rsidRPr="00C71EAE">
              <w:t>).Adding</w:t>
            </w:r>
            <w:proofErr w:type="gramEnd"/>
            <w:r w:rsidRPr="00C71EAE">
              <w:t xml:space="preserve"> Earnest Loans to diversify options</w:t>
            </w:r>
            <w:r>
              <w:t>. They have no</w:t>
            </w:r>
            <w:r w:rsidRPr="00C71EAE">
              <w:t xml:space="preserve"> institutional data</w:t>
            </w:r>
            <w:r>
              <w:t xml:space="preserve"> </w:t>
            </w:r>
            <w:r w:rsidRPr="00C71EAE">
              <w:t>sharing agreement.</w:t>
            </w:r>
            <w:r>
              <w:t xml:space="preserve"> </w:t>
            </w:r>
            <w:r w:rsidRPr="00C71EAE">
              <w:t xml:space="preserve">Using student </w:t>
            </w:r>
            <w:proofErr w:type="gramStart"/>
            <w:r w:rsidRPr="00C71EAE">
              <w:t>consent</w:t>
            </w:r>
            <w:r>
              <w:t xml:space="preserve"> </w:t>
            </w:r>
            <w:r w:rsidRPr="00C71EAE">
              <w:t>based</w:t>
            </w:r>
            <w:proofErr w:type="gramEnd"/>
            <w:r w:rsidRPr="00C71EAE">
              <w:t xml:space="preserve"> data sharing (approved by legal team).</w:t>
            </w:r>
          </w:p>
          <w:p w14:paraId="2434F13A" w14:textId="77777777" w:rsidR="00D96D6B" w:rsidRPr="00C71EAE" w:rsidRDefault="00D96D6B" w:rsidP="00C76AB6">
            <w:pPr>
              <w:numPr>
                <w:ilvl w:val="0"/>
                <w:numId w:val="6"/>
              </w:numPr>
              <w:spacing w:after="160"/>
            </w:pPr>
            <w:r w:rsidRPr="00C71EAE">
              <w:t>Ongoing technical issues with US systems</w:t>
            </w:r>
            <w:r>
              <w:t xml:space="preserve">. </w:t>
            </w:r>
            <w:r w:rsidRPr="00C71EAE">
              <w:t xml:space="preserve">Partner Connect / </w:t>
            </w:r>
            <w:proofErr w:type="spellStart"/>
            <w:r w:rsidRPr="00C71EAE">
              <w:t>EDconnect</w:t>
            </w:r>
            <w:proofErr w:type="spellEnd"/>
            <w:r w:rsidRPr="00C71EAE">
              <w:t xml:space="preserve"> access problems lasting 6–7 months.</w:t>
            </w:r>
            <w:r>
              <w:t xml:space="preserve"> </w:t>
            </w:r>
            <w:r w:rsidRPr="00C71EAE">
              <w:t>Limited technical support from US authorities.</w:t>
            </w:r>
          </w:p>
          <w:p w14:paraId="347E642D" w14:textId="7C35914B" w:rsidR="00D96D6B" w:rsidRPr="00C71EAE" w:rsidRDefault="00D96D6B" w:rsidP="003E3E8D">
            <w:pPr>
              <w:numPr>
                <w:ilvl w:val="0"/>
                <w:numId w:val="7"/>
              </w:numPr>
              <w:spacing w:after="160"/>
            </w:pPr>
            <w:r w:rsidRPr="00C71EAE">
              <w:lastRenderedPageBreak/>
              <w:t xml:space="preserve">Current graduate students </w:t>
            </w:r>
            <w:r w:rsidR="00640511">
              <w:t xml:space="preserve">at Durham </w:t>
            </w:r>
            <w:r w:rsidRPr="00C71EAE">
              <w:t>notified</w:t>
            </w:r>
            <w:r>
              <w:t>, m</w:t>
            </w:r>
            <w:r w:rsidRPr="00C71EAE">
              <w:t>ust request Grad PLUS loans this year to retain legacy eligibility.</w:t>
            </w:r>
            <w:r w:rsidR="003E3E8D">
              <w:t xml:space="preserve"> </w:t>
            </w:r>
            <w:r w:rsidRPr="00C71EAE">
              <w:t>Student support includes</w:t>
            </w:r>
            <w:r>
              <w:t xml:space="preserve">, </w:t>
            </w:r>
            <w:proofErr w:type="gramStart"/>
            <w:r>
              <w:t>d</w:t>
            </w:r>
            <w:r w:rsidRPr="00C71EAE">
              <w:t>rop</w:t>
            </w:r>
            <w:r w:rsidR="00005C6D">
              <w:t xml:space="preserve"> </w:t>
            </w:r>
            <w:r w:rsidRPr="00C71EAE">
              <w:t>in</w:t>
            </w:r>
            <w:proofErr w:type="gramEnd"/>
            <w:r w:rsidRPr="00C71EAE">
              <w:t xml:space="preserve"> sessions for US students</w:t>
            </w:r>
            <w:r>
              <w:t xml:space="preserve"> and W</w:t>
            </w:r>
            <w:r w:rsidRPr="00C71EAE">
              <w:t>elcome webinar and onboarding support</w:t>
            </w:r>
          </w:p>
          <w:p w14:paraId="0D5C2454" w14:textId="77777777" w:rsidR="00D96D6B" w:rsidRDefault="00D96D6B" w:rsidP="00C76AB6">
            <w:pPr>
              <w:numPr>
                <w:ilvl w:val="0"/>
                <w:numId w:val="8"/>
              </w:numPr>
              <w:spacing w:after="160"/>
            </w:pPr>
            <w:r w:rsidRPr="00C71EAE">
              <w:t>Institution subject to higher</w:t>
            </w:r>
            <w:r>
              <w:t xml:space="preserve"> </w:t>
            </w:r>
            <w:r w:rsidRPr="00C71EAE">
              <w:t>level annual audit requirements, involving more detailed reporting.</w:t>
            </w:r>
          </w:p>
          <w:p w14:paraId="0C1B20EF" w14:textId="2E99A1C4" w:rsidR="003E59C4" w:rsidRDefault="007872A2" w:rsidP="007872A2">
            <w:pPr>
              <w:spacing w:after="160"/>
            </w:pPr>
            <w:r>
              <w:t>Member discussion</w:t>
            </w:r>
          </w:p>
          <w:p w14:paraId="3A8A7738" w14:textId="1ADCDB86" w:rsidR="003E59C4" w:rsidRPr="00711B7C" w:rsidRDefault="00F46CCF" w:rsidP="00711B7C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711B7C">
              <w:rPr>
                <w:rFonts w:eastAsia="Times New Roman" w:cstheme="minorHAnsi"/>
                <w:lang w:eastAsia="en-GB"/>
              </w:rPr>
              <w:t>Member advised the e</w:t>
            </w:r>
            <w:r w:rsidR="003E59C4" w:rsidRPr="00711B7C">
              <w:rPr>
                <w:rFonts w:eastAsia="Times New Roman" w:cstheme="minorHAnsi"/>
                <w:lang w:eastAsia="en-GB"/>
              </w:rPr>
              <w:t xml:space="preserve">xistence of a </w:t>
            </w:r>
            <w:proofErr w:type="gramStart"/>
            <w:r w:rsidR="003E59C4" w:rsidRPr="00711B7C">
              <w:rPr>
                <w:rFonts w:eastAsia="Times New Roman" w:cstheme="minorHAnsi"/>
                <w:lang w:eastAsia="en-GB"/>
              </w:rPr>
              <w:t>North East</w:t>
            </w:r>
            <w:proofErr w:type="gramEnd"/>
            <w:r w:rsidR="003E59C4" w:rsidRPr="00711B7C">
              <w:rPr>
                <w:rFonts w:eastAsia="Times New Roman" w:cstheme="minorHAnsi"/>
                <w:lang w:eastAsia="en-GB"/>
              </w:rPr>
              <w:t xml:space="preserve"> Regional Federal Loans Working Group highlighted.</w:t>
            </w:r>
          </w:p>
          <w:p w14:paraId="6D0C7CB4" w14:textId="5F913661" w:rsidR="003E59C4" w:rsidRPr="00711B7C" w:rsidRDefault="003E59C4" w:rsidP="00711B7C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711B7C">
              <w:rPr>
                <w:rFonts w:eastAsia="Times New Roman" w:cstheme="minorHAnsi"/>
                <w:lang w:eastAsia="en-GB"/>
              </w:rPr>
              <w:t>Recent meeting held at Leeds</w:t>
            </w:r>
            <w:r w:rsidR="00F46CCF" w:rsidRPr="00711B7C">
              <w:rPr>
                <w:rFonts w:eastAsia="Times New Roman" w:cstheme="minorHAnsi"/>
                <w:lang w:eastAsia="en-GB"/>
              </w:rPr>
              <w:t>,</w:t>
            </w:r>
            <w:r w:rsidRPr="00711B7C">
              <w:rPr>
                <w:rFonts w:eastAsia="Times New Roman" w:cstheme="minorHAnsi"/>
                <w:lang w:eastAsia="en-GB"/>
              </w:rPr>
              <w:t xml:space="preserve"> seen as a useful forum for detailed discussions.</w:t>
            </w:r>
          </w:p>
          <w:p w14:paraId="64E30365" w14:textId="77777777" w:rsidR="00711B7C" w:rsidRDefault="003E59C4" w:rsidP="00711B7C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711B7C">
              <w:rPr>
                <w:rFonts w:eastAsia="Times New Roman" w:cstheme="minorHAnsi"/>
                <w:lang w:eastAsia="en-GB"/>
              </w:rPr>
              <w:t>Next meeting planned for November at Northumbria (every 6 months, in-person encouraged).</w:t>
            </w:r>
          </w:p>
          <w:p w14:paraId="3E15D6B6" w14:textId="03801CF1" w:rsidR="003E59C4" w:rsidRPr="00711B7C" w:rsidRDefault="003E59C4" w:rsidP="00711B7C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711B7C">
              <w:rPr>
                <w:rFonts w:eastAsia="Times New Roman" w:cstheme="minorHAnsi"/>
                <w:lang w:eastAsia="en-GB"/>
              </w:rPr>
              <w:t>Invitation extended for others to join the group.</w:t>
            </w:r>
          </w:p>
          <w:p w14:paraId="5B4EFC00" w14:textId="77777777" w:rsidR="00711B7C" w:rsidRDefault="003E59C4" w:rsidP="00711B7C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711B7C">
              <w:rPr>
                <w:rFonts w:eastAsia="Times New Roman" w:cstheme="minorHAnsi"/>
                <w:lang w:eastAsia="en-GB"/>
              </w:rPr>
              <w:t>General agreement that issues raised are consistent across institutions.</w:t>
            </w:r>
          </w:p>
          <w:p w14:paraId="4F620C0D" w14:textId="77777777" w:rsidR="00711B7C" w:rsidRDefault="003E59C4" w:rsidP="00711B7C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711B7C">
              <w:rPr>
                <w:rFonts w:eastAsia="Times New Roman" w:cstheme="minorHAnsi"/>
                <w:lang w:eastAsia="en-GB"/>
              </w:rPr>
              <w:t>Ongoing uncertainty around impact of policy changes.</w:t>
            </w:r>
          </w:p>
          <w:p w14:paraId="2988BB43" w14:textId="77777777" w:rsidR="00E97111" w:rsidRDefault="003E59C4" w:rsidP="00E97111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711B7C">
              <w:rPr>
                <w:rFonts w:eastAsia="Times New Roman" w:cstheme="minorHAnsi"/>
                <w:lang w:eastAsia="en-GB"/>
              </w:rPr>
              <w:t>Impact of US policy changes</w:t>
            </w:r>
            <w:r w:rsidR="007872A2">
              <w:rPr>
                <w:rFonts w:eastAsia="Times New Roman" w:cstheme="minorHAnsi"/>
                <w:lang w:eastAsia="en-GB"/>
              </w:rPr>
              <w:t xml:space="preserve">. </w:t>
            </w:r>
            <w:r w:rsidRPr="007872A2">
              <w:rPr>
                <w:rFonts w:eastAsia="Times New Roman" w:cstheme="minorHAnsi"/>
                <w:lang w:eastAsia="en-GB"/>
              </w:rPr>
              <w:t>Unclear impact of the “One Big Beautiful Bill”.</w:t>
            </w:r>
          </w:p>
          <w:p w14:paraId="51909AAE" w14:textId="77777777" w:rsidR="00E97111" w:rsidRDefault="003E59C4" w:rsidP="00E97111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E97111">
              <w:rPr>
                <w:rFonts w:eastAsia="Times New Roman" w:cstheme="minorHAnsi"/>
                <w:lang w:eastAsia="en-GB"/>
              </w:rPr>
              <w:t>Expectation of increased reliance on private loans (e.g. Sallie Mae, Earnest).</w:t>
            </w:r>
          </w:p>
          <w:p w14:paraId="6AEB0D85" w14:textId="77777777" w:rsidR="00E97111" w:rsidRDefault="003E59C4" w:rsidP="00E97111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E97111">
              <w:rPr>
                <w:rFonts w:eastAsia="Times New Roman" w:cstheme="minorHAnsi"/>
                <w:lang w:eastAsia="en-GB"/>
              </w:rPr>
              <w:t>Indications that US students may be comfortable using private loans, reflecting past practices pre-federal system expansion.</w:t>
            </w:r>
          </w:p>
          <w:p w14:paraId="352BB47F" w14:textId="77777777" w:rsidR="00E97111" w:rsidRDefault="003E59C4" w:rsidP="00E97111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E97111">
              <w:rPr>
                <w:rFonts w:eastAsia="Times New Roman" w:cstheme="minorHAnsi"/>
                <w:lang w:eastAsia="en-GB"/>
              </w:rPr>
              <w:t>Potential shift back toward private lending model used 10–15 years ago.</w:t>
            </w:r>
          </w:p>
          <w:p w14:paraId="1200C428" w14:textId="77777777" w:rsidR="002D49A9" w:rsidRDefault="003E59C4" w:rsidP="002D49A9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E97111">
              <w:rPr>
                <w:rFonts w:eastAsia="Times New Roman" w:cstheme="minorHAnsi"/>
                <w:lang w:eastAsia="en-GB"/>
              </w:rPr>
              <w:t xml:space="preserve">UK may remain a </w:t>
            </w:r>
            <w:proofErr w:type="gramStart"/>
            <w:r w:rsidRPr="00E97111">
              <w:rPr>
                <w:rFonts w:eastAsia="Times New Roman" w:cstheme="minorHAnsi"/>
                <w:lang w:eastAsia="en-GB"/>
              </w:rPr>
              <w:t>cost</w:t>
            </w:r>
            <w:r w:rsidR="003F2406" w:rsidRPr="00E97111">
              <w:rPr>
                <w:rFonts w:eastAsia="Times New Roman" w:cstheme="minorHAnsi"/>
                <w:lang w:eastAsia="en-GB"/>
              </w:rPr>
              <w:t xml:space="preserve"> </w:t>
            </w:r>
            <w:r w:rsidRPr="00E97111">
              <w:rPr>
                <w:rFonts w:eastAsia="Times New Roman" w:cstheme="minorHAnsi"/>
                <w:lang w:eastAsia="en-GB"/>
              </w:rPr>
              <w:t>effective</w:t>
            </w:r>
            <w:proofErr w:type="gramEnd"/>
            <w:r w:rsidRPr="00E97111">
              <w:rPr>
                <w:rFonts w:eastAsia="Times New Roman" w:cstheme="minorHAnsi"/>
                <w:lang w:eastAsia="en-GB"/>
              </w:rPr>
              <w:t xml:space="preserve"> study destination compared to the US.</w:t>
            </w:r>
          </w:p>
          <w:p w14:paraId="6BECB896" w14:textId="77777777" w:rsidR="002D49A9" w:rsidRDefault="003E59C4" w:rsidP="002D49A9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2D49A9">
              <w:rPr>
                <w:rFonts w:eastAsia="Times New Roman" w:cstheme="minorHAnsi"/>
                <w:lang w:eastAsia="en-GB"/>
              </w:rPr>
              <w:t>Policy restrictions could drive demand for UK education from US students.</w:t>
            </w:r>
            <w:r w:rsidR="00E97111" w:rsidRPr="002D49A9">
              <w:rPr>
                <w:rFonts w:eastAsia="Times New Roman" w:cstheme="minorHAnsi"/>
                <w:lang w:eastAsia="en-GB"/>
              </w:rPr>
              <w:t xml:space="preserve"> However, overall impact on demand remains uncertain.</w:t>
            </w:r>
          </w:p>
          <w:p w14:paraId="188346A7" w14:textId="15E777D4" w:rsidR="003E59C4" w:rsidRPr="002D49A9" w:rsidRDefault="003E59C4" w:rsidP="002D49A9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2D49A9">
              <w:rPr>
                <w:rFonts w:eastAsia="Times New Roman" w:cstheme="minorHAnsi"/>
                <w:lang w:eastAsia="en-GB"/>
              </w:rPr>
              <w:t>Possible factors</w:t>
            </w:r>
            <w:r w:rsidR="00E52010" w:rsidRPr="002D49A9">
              <w:rPr>
                <w:rFonts w:eastAsia="Times New Roman" w:cstheme="minorHAnsi"/>
                <w:lang w:eastAsia="en-GB"/>
              </w:rPr>
              <w:t xml:space="preserve"> being </w:t>
            </w:r>
            <w:proofErr w:type="gramStart"/>
            <w:r w:rsidR="00E52010" w:rsidRPr="002D49A9">
              <w:rPr>
                <w:rFonts w:eastAsia="Times New Roman" w:cstheme="minorHAnsi"/>
                <w:lang w:eastAsia="en-GB"/>
              </w:rPr>
              <w:t>d</w:t>
            </w:r>
            <w:r w:rsidRPr="002D49A9">
              <w:rPr>
                <w:rFonts w:eastAsia="Times New Roman" w:cstheme="minorHAnsi"/>
                <w:lang w:eastAsia="en-GB"/>
              </w:rPr>
              <w:t>esire</w:t>
            </w:r>
            <w:proofErr w:type="gramEnd"/>
            <w:r w:rsidRPr="002D49A9">
              <w:rPr>
                <w:rFonts w:eastAsia="Times New Roman" w:cstheme="minorHAnsi"/>
                <w:lang w:eastAsia="en-GB"/>
              </w:rPr>
              <w:t xml:space="preserve"> to study outside the US</w:t>
            </w:r>
            <w:r w:rsidR="00E52010" w:rsidRPr="002D49A9">
              <w:rPr>
                <w:rFonts w:eastAsia="Times New Roman" w:cstheme="minorHAnsi"/>
                <w:lang w:eastAsia="en-GB"/>
              </w:rPr>
              <w:t xml:space="preserve"> and a c</w:t>
            </w:r>
            <w:r w:rsidRPr="002D49A9">
              <w:rPr>
                <w:rFonts w:eastAsia="Times New Roman" w:cstheme="minorHAnsi"/>
                <w:lang w:eastAsia="en-GB"/>
              </w:rPr>
              <w:t>hanging funding landscape</w:t>
            </w:r>
            <w:r w:rsidR="00E52010" w:rsidRPr="002D49A9">
              <w:rPr>
                <w:rFonts w:eastAsia="Times New Roman" w:cstheme="minorHAnsi"/>
                <w:lang w:eastAsia="en-GB"/>
              </w:rPr>
              <w:t xml:space="preserve">. </w:t>
            </w:r>
            <w:r w:rsidRPr="002D49A9">
              <w:rPr>
                <w:rFonts w:eastAsia="Times New Roman" w:cstheme="minorHAnsi"/>
                <w:lang w:eastAsia="en-GB"/>
              </w:rPr>
              <w:t>Noted new cohort presenting additional support needs (e.g. hardship funding).</w:t>
            </w:r>
          </w:p>
          <w:p w14:paraId="5D8B6325" w14:textId="0A4FF2CF" w:rsidR="00CB3257" w:rsidRPr="00E52010" w:rsidRDefault="003E59C4" w:rsidP="00E52010">
            <w:pPr>
              <w:numPr>
                <w:ilvl w:val="0"/>
                <w:numId w:val="15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3E59C4">
              <w:rPr>
                <w:rFonts w:eastAsia="Times New Roman" w:cstheme="minorHAnsi"/>
                <w:lang w:eastAsia="en-GB"/>
              </w:rPr>
              <w:t>Events &amp; engagement</w:t>
            </w:r>
            <w:r w:rsidR="00E52010">
              <w:rPr>
                <w:rFonts w:eastAsia="Times New Roman" w:cstheme="minorHAnsi"/>
                <w:lang w:eastAsia="en-GB"/>
              </w:rPr>
              <w:t xml:space="preserve"> </w:t>
            </w:r>
            <w:r w:rsidRPr="00E52010">
              <w:rPr>
                <w:rFonts w:eastAsia="Times New Roman" w:cstheme="minorHAnsi"/>
                <w:lang w:eastAsia="en-GB"/>
              </w:rPr>
              <w:t xml:space="preserve">Upcoming event in Edinburgh/Glasgow </w:t>
            </w:r>
          </w:p>
          <w:p w14:paraId="1FAF089E" w14:textId="77777777" w:rsidR="00CB3257" w:rsidRDefault="003E59C4" w:rsidP="00CB3257">
            <w:pPr>
              <w:numPr>
                <w:ilvl w:val="0"/>
                <w:numId w:val="15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3E59C4">
              <w:rPr>
                <w:rFonts w:eastAsia="Times New Roman" w:cstheme="minorHAnsi"/>
                <w:lang w:eastAsia="en-GB"/>
              </w:rPr>
              <w:t>Resource sharing &amp; institutional preparation</w:t>
            </w:r>
          </w:p>
          <w:p w14:paraId="44D62EF6" w14:textId="77777777" w:rsidR="00CB3257" w:rsidRDefault="003E59C4" w:rsidP="00CB3257">
            <w:pPr>
              <w:numPr>
                <w:ilvl w:val="0"/>
                <w:numId w:val="15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CB3257">
              <w:rPr>
                <w:rFonts w:eastAsia="Times New Roman" w:cstheme="minorHAnsi"/>
                <w:lang w:eastAsia="en-GB"/>
              </w:rPr>
              <w:t>Institutions willing to share cost of attendance materials and approaches.</w:t>
            </w:r>
          </w:p>
          <w:p w14:paraId="187B849C" w14:textId="633753DC" w:rsidR="003E59C4" w:rsidRPr="00CB3257" w:rsidRDefault="003E59C4" w:rsidP="00CB3257">
            <w:pPr>
              <w:numPr>
                <w:ilvl w:val="0"/>
                <w:numId w:val="15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CB3257">
              <w:rPr>
                <w:rFonts w:eastAsia="Times New Roman" w:cstheme="minorHAnsi"/>
                <w:lang w:eastAsia="en-GB"/>
              </w:rPr>
              <w:t>Use of current changes as an opportunity to</w:t>
            </w:r>
            <w:r w:rsidR="00CB3257">
              <w:rPr>
                <w:rFonts w:eastAsia="Times New Roman" w:cstheme="minorHAnsi"/>
                <w:lang w:eastAsia="en-GB"/>
              </w:rPr>
              <w:t xml:space="preserve"> m</w:t>
            </w:r>
            <w:r w:rsidRPr="00CB3257">
              <w:rPr>
                <w:rFonts w:eastAsia="Times New Roman" w:cstheme="minorHAnsi"/>
                <w:lang w:eastAsia="en-GB"/>
              </w:rPr>
              <w:t>odernise outdated tools (e.g. legacy Excel calculators)</w:t>
            </w:r>
          </w:p>
          <w:p w14:paraId="50A38CFE" w14:textId="64DC361F" w:rsidR="005C5FEC" w:rsidRPr="005C5FEC" w:rsidRDefault="005C5FEC" w:rsidP="00CB3257">
            <w:pPr>
              <w:spacing w:before="100" w:beforeAutospacing="1" w:after="100" w:afterAutospacing="1" w:line="300" w:lineRule="atLeast"/>
              <w:ind w:left="1440"/>
              <w:rPr>
                <w:bCs/>
              </w:rPr>
            </w:pPr>
          </w:p>
        </w:tc>
        <w:tc>
          <w:tcPr>
            <w:tcW w:w="624" w:type="pct"/>
          </w:tcPr>
          <w:p w14:paraId="2D64BC60" w14:textId="72721A1F" w:rsidR="00A94D45" w:rsidRPr="00F403EA" w:rsidRDefault="00A94D45" w:rsidP="00A94D45">
            <w:pPr>
              <w:rPr>
                <w:bCs/>
              </w:rPr>
            </w:pPr>
          </w:p>
        </w:tc>
      </w:tr>
      <w:tr w:rsidR="00A31AB4" w14:paraId="7D46BAD8" w14:textId="77777777" w:rsidTr="00F27B52">
        <w:tc>
          <w:tcPr>
            <w:tcW w:w="195" w:type="pct"/>
            <w:shd w:val="clear" w:color="auto" w:fill="E5DFEC" w:themeFill="accent4" w:themeFillTint="33"/>
          </w:tcPr>
          <w:p w14:paraId="7FDE11BC" w14:textId="3EE2EA61" w:rsidR="00A31AB4" w:rsidRDefault="0072692F" w:rsidP="00A94D4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81" w:type="pct"/>
            <w:gridSpan w:val="2"/>
            <w:shd w:val="clear" w:color="auto" w:fill="E5DFEC" w:themeFill="accent4" w:themeFillTint="33"/>
          </w:tcPr>
          <w:p w14:paraId="055B57A1" w14:textId="3A208038" w:rsidR="00A31AB4" w:rsidRDefault="00EF3738" w:rsidP="00A94D45">
            <w:pPr>
              <w:rPr>
                <w:b/>
              </w:rPr>
            </w:pPr>
            <w:r w:rsidRPr="009D2903">
              <w:rPr>
                <w:rFonts w:cstheme="minorHAnsi"/>
                <w:b/>
                <w:bCs/>
                <w:sz w:val="24"/>
                <w:szCs w:val="24"/>
              </w:rPr>
              <w:t>SLC Estrangement Cases</w:t>
            </w:r>
          </w:p>
        </w:tc>
        <w:tc>
          <w:tcPr>
            <w:tcW w:w="624" w:type="pct"/>
            <w:shd w:val="clear" w:color="auto" w:fill="E5DFEC" w:themeFill="accent4" w:themeFillTint="33"/>
          </w:tcPr>
          <w:p w14:paraId="1C3D788F" w14:textId="77777777" w:rsidR="00A31AB4" w:rsidRDefault="00A31AB4" w:rsidP="00A94D45">
            <w:pPr>
              <w:rPr>
                <w:b/>
              </w:rPr>
            </w:pPr>
          </w:p>
        </w:tc>
      </w:tr>
      <w:tr w:rsidR="00A31AB4" w14:paraId="7A061ECA" w14:textId="77777777" w:rsidTr="00A31AB4">
        <w:tc>
          <w:tcPr>
            <w:tcW w:w="195" w:type="pct"/>
            <w:shd w:val="clear" w:color="auto" w:fill="FFFFFF" w:themeFill="background1"/>
          </w:tcPr>
          <w:p w14:paraId="6402F196" w14:textId="77777777" w:rsidR="00A31AB4" w:rsidRDefault="00A31AB4" w:rsidP="00A94D45">
            <w:pPr>
              <w:rPr>
                <w:b/>
              </w:rPr>
            </w:pPr>
          </w:p>
        </w:tc>
        <w:tc>
          <w:tcPr>
            <w:tcW w:w="4181" w:type="pct"/>
            <w:gridSpan w:val="2"/>
            <w:shd w:val="clear" w:color="auto" w:fill="FFFFFF" w:themeFill="background1"/>
          </w:tcPr>
          <w:p w14:paraId="5FC1C4F6" w14:textId="77777777" w:rsidR="00A40828" w:rsidRDefault="00A40828" w:rsidP="00A40828">
            <w:p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</w:p>
          <w:p w14:paraId="27AE06DB" w14:textId="77777777" w:rsidR="00A40828" w:rsidRPr="006E5FA8" w:rsidRDefault="00A40828" w:rsidP="00A40828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  <w:r w:rsidRPr="006E5FA8">
              <w:rPr>
                <w:rFonts w:ascii="Calibri" w:eastAsia="Times New Roman" w:hAnsi="Calibri" w:cs="Calibri"/>
                <w:lang w:eastAsia="en-GB"/>
              </w:rPr>
              <w:t>RS Estrangement cases, frequent topic on the NASMA mailing list and our institution has seen a significant increase in estranged students this also appears to be sector wide.</w:t>
            </w:r>
          </w:p>
          <w:p w14:paraId="5A49D234" w14:textId="77777777" w:rsidR="00A40828" w:rsidRPr="006E5FA8" w:rsidRDefault="00A40828" w:rsidP="00A40828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  <w:r w:rsidRPr="006E5FA8">
              <w:rPr>
                <w:rFonts w:ascii="Calibri" w:eastAsia="Times New Roman" w:hAnsi="Calibri" w:cs="Calibri"/>
                <w:lang w:eastAsia="en-GB"/>
              </w:rPr>
              <w:t xml:space="preserve">Likely linked to rising cost of living and insufficient maintenance loans. </w:t>
            </w:r>
            <w:r>
              <w:rPr>
                <w:rFonts w:ascii="Calibri" w:eastAsia="Times New Roman" w:hAnsi="Calibri" w:cs="Calibri"/>
                <w:lang w:eastAsia="en-GB"/>
              </w:rPr>
              <w:t>Are s</w:t>
            </w:r>
            <w:r w:rsidRPr="006E5FA8">
              <w:rPr>
                <w:rFonts w:ascii="Calibri" w:eastAsia="Times New Roman" w:hAnsi="Calibri" w:cs="Calibri"/>
                <w:lang w:eastAsia="en-GB"/>
              </w:rPr>
              <w:t>tudents seeking access to higher funding via estranged status</w:t>
            </w:r>
            <w:r>
              <w:rPr>
                <w:rFonts w:ascii="Calibri" w:eastAsia="Times New Roman" w:hAnsi="Calibri" w:cs="Calibri"/>
                <w:lang w:eastAsia="en-GB"/>
              </w:rPr>
              <w:t>?</w:t>
            </w:r>
          </w:p>
          <w:p w14:paraId="5D11FC24" w14:textId="77777777" w:rsidR="00A40828" w:rsidRDefault="00A40828" w:rsidP="00A40828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  <w:r w:rsidRPr="006E5FA8">
              <w:rPr>
                <w:rFonts w:ascii="Calibri" w:eastAsia="Times New Roman" w:hAnsi="Calibri" w:cs="Calibri"/>
                <w:lang w:eastAsia="en-GB"/>
              </w:rPr>
              <w:t xml:space="preserve">Estrangement criteria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historically strict, are </w:t>
            </w:r>
            <w:r w:rsidRPr="006E5FA8">
              <w:rPr>
                <w:rFonts w:ascii="Calibri" w:eastAsia="Times New Roman" w:hAnsi="Calibri" w:cs="Calibri"/>
                <w:lang w:eastAsia="en-GB"/>
              </w:rPr>
              <w:t>SFE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6E5FA8">
              <w:rPr>
                <w:rFonts w:ascii="Calibri" w:eastAsia="Times New Roman" w:hAnsi="Calibri" w:cs="Calibri"/>
                <w:lang w:eastAsia="en-GB"/>
              </w:rPr>
              <w:t>appear</w:t>
            </w:r>
            <w:r>
              <w:rPr>
                <w:rFonts w:ascii="Calibri" w:eastAsia="Times New Roman" w:hAnsi="Calibri" w:cs="Calibri"/>
                <w:lang w:eastAsia="en-GB"/>
              </w:rPr>
              <w:t>ing</w:t>
            </w:r>
            <w:r w:rsidRPr="006E5FA8">
              <w:rPr>
                <w:rFonts w:ascii="Calibri" w:eastAsia="Times New Roman" w:hAnsi="Calibri" w:cs="Calibri"/>
                <w:lang w:eastAsia="en-GB"/>
              </w:rPr>
              <w:t xml:space="preserve"> less strict</w:t>
            </w:r>
            <w:r>
              <w:rPr>
                <w:rFonts w:ascii="Calibri" w:eastAsia="Times New Roman" w:hAnsi="Calibri" w:cs="Calibri"/>
                <w:lang w:eastAsia="en-GB"/>
              </w:rPr>
              <w:t>?</w:t>
            </w:r>
          </w:p>
          <w:p w14:paraId="1602D676" w14:textId="77777777" w:rsidR="00A40828" w:rsidRDefault="00A40828" w:rsidP="00A40828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Our institution has experienced checks on third party evidence that has been provided by a pastor, as well as r</w:t>
            </w:r>
            <w:r w:rsidRPr="0075279F">
              <w:rPr>
                <w:rFonts w:ascii="Calibri" w:eastAsia="Times New Roman" w:hAnsi="Calibri" w:cs="Calibri"/>
                <w:lang w:eastAsia="en-GB"/>
              </w:rPr>
              <w:t>equests for more recent evidence, especially in older cases.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75279F">
              <w:rPr>
                <w:rFonts w:ascii="Calibri" w:eastAsia="Times New Roman" w:hAnsi="Calibri" w:cs="Calibri"/>
                <w:lang w:eastAsia="en-GB"/>
              </w:rPr>
              <w:t>Evidence can be difficult for students to obtain, particularly from former teachers or college staff.</w:t>
            </w:r>
          </w:p>
          <w:p w14:paraId="05EA1721" w14:textId="77777777" w:rsidR="00A40828" w:rsidRDefault="00A40828" w:rsidP="00A40828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Positive interactions from contacting the SFE independent team in estrangement cases. Prompt responses and we have experienced assessors contacting students for same day telephone calls.</w:t>
            </w:r>
          </w:p>
          <w:p w14:paraId="0086118D" w14:textId="77777777" w:rsidR="00A40828" w:rsidRDefault="00A40828" w:rsidP="00A40828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  <w:r w:rsidRPr="0075279F">
              <w:rPr>
                <w:rFonts w:ascii="Calibri" w:eastAsia="Times New Roman" w:hAnsi="Calibri" w:cs="Calibri"/>
                <w:lang w:eastAsia="en-GB"/>
              </w:rPr>
              <w:t>Proactive contact with S</w:t>
            </w:r>
            <w:r>
              <w:rPr>
                <w:rFonts w:ascii="Calibri" w:eastAsia="Times New Roman" w:hAnsi="Calibri" w:cs="Calibri"/>
                <w:lang w:eastAsia="en-GB"/>
              </w:rPr>
              <w:t>FE</w:t>
            </w:r>
            <w:r w:rsidRPr="0075279F">
              <w:rPr>
                <w:rFonts w:ascii="Calibri" w:eastAsia="Times New Roman" w:hAnsi="Calibri" w:cs="Calibri"/>
                <w:lang w:eastAsia="en-GB"/>
              </w:rPr>
              <w:t xml:space="preserve"> helps avoid delays beyond standard 15 working days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(currently)</w:t>
            </w:r>
          </w:p>
          <w:p w14:paraId="325C096B" w14:textId="77777777" w:rsidR="00A40828" w:rsidRDefault="00A40828" w:rsidP="00A40828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  <w:r w:rsidRPr="009F2E09">
              <w:rPr>
                <w:rFonts w:ascii="Calibri" w:eastAsia="Times New Roman" w:hAnsi="Calibri" w:cs="Calibri"/>
                <w:lang w:eastAsia="en-GB"/>
              </w:rPr>
              <w:lastRenderedPageBreak/>
              <w:t>Estrangement cases are often high workload of support and resource intensive. Often can be emotionally challenging for staff. Teams support each other through case discussion and sharing emotional burden.</w:t>
            </w:r>
          </w:p>
          <w:p w14:paraId="0FE21462" w14:textId="77777777" w:rsidR="00A40828" w:rsidRPr="009F2E09" w:rsidRDefault="00A40828" w:rsidP="00A40828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  <w:r w:rsidRPr="009F2E09">
              <w:rPr>
                <w:rFonts w:ascii="Calibri" w:eastAsia="Times New Roman" w:hAnsi="Calibri" w:cs="Calibri"/>
                <w:lang w:eastAsia="en-GB"/>
              </w:rPr>
              <w:t xml:space="preserve">Our institutional approach to evidence, allow colleges/academics to do so, but team provide guidance on wording to avoid issues with SLC. Avoid stating certainty without evidence. To use phrasing like: </w:t>
            </w:r>
            <w:r w:rsidRPr="009F2E09">
              <w:rPr>
                <w:rFonts w:ascii="Calibri" w:eastAsia="Times New Roman" w:hAnsi="Calibri" w:cs="Calibri"/>
                <w:i/>
                <w:iCs/>
                <w:lang w:eastAsia="en-GB"/>
              </w:rPr>
              <w:t>“student has declared…”</w:t>
            </w:r>
            <w:r w:rsidRPr="009F2E09">
              <w:rPr>
                <w:rFonts w:ascii="Calibri" w:eastAsia="Times New Roman" w:hAnsi="Calibri" w:cs="Calibri"/>
                <w:lang w:eastAsia="en-GB"/>
              </w:rPr>
              <w:t xml:space="preserve"> unless verified.</w:t>
            </w:r>
          </w:p>
          <w:p w14:paraId="6F34AFA7" w14:textId="77777777" w:rsidR="00A40828" w:rsidRPr="006E5FA8" w:rsidRDefault="00A40828" w:rsidP="00A40828">
            <w:pPr>
              <w:numPr>
                <w:ilvl w:val="0"/>
                <w:numId w:val="19"/>
              </w:num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  <w:r w:rsidRPr="0075279F">
              <w:rPr>
                <w:rFonts w:ascii="Calibri" w:eastAsia="Times New Roman" w:hAnsi="Calibri" w:cs="Calibri"/>
                <w:lang w:eastAsia="en-GB"/>
              </w:rPr>
              <w:t>Member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s are seeing increased complex family circumstances. That don’t meet SFE definition of estranged. </w:t>
            </w:r>
            <w:r w:rsidRPr="006E5FA8">
              <w:rPr>
                <w:rFonts w:ascii="Calibri" w:eastAsia="Times New Roman" w:hAnsi="Calibri" w:cs="Calibri"/>
                <w:lang w:eastAsia="en-GB"/>
              </w:rPr>
              <w:t>Staff often feel like the “bad cop” enforcing strict definitions.</w:t>
            </w:r>
          </w:p>
          <w:p w14:paraId="53439D21" w14:textId="77777777" w:rsidR="00A40828" w:rsidRPr="0075279F" w:rsidRDefault="00A40828" w:rsidP="00A40828">
            <w:pPr>
              <w:numPr>
                <w:ilvl w:val="0"/>
                <w:numId w:val="19"/>
              </w:num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  <w:r w:rsidRPr="006E5FA8">
              <w:rPr>
                <w:rFonts w:ascii="Calibri" w:eastAsia="Times New Roman" w:hAnsi="Calibri" w:cs="Calibri"/>
                <w:lang w:eastAsia="en-GB"/>
              </w:rPr>
              <w:t>Increase in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c</w:t>
            </w:r>
            <w:r w:rsidRPr="0075279F">
              <w:rPr>
                <w:rFonts w:ascii="Calibri" w:eastAsia="Times New Roman" w:hAnsi="Calibri" w:cs="Calibri"/>
                <w:lang w:eastAsia="en-GB"/>
              </w:rPr>
              <w:t>omplicated family circumstances post-COVID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and increased number of s</w:t>
            </w:r>
            <w:r w:rsidRPr="0075279F">
              <w:rPr>
                <w:rFonts w:ascii="Calibri" w:eastAsia="Times New Roman" w:hAnsi="Calibri" w:cs="Calibri"/>
                <w:lang w:eastAsia="en-GB"/>
              </w:rPr>
              <w:t>tudents awarded independent/estranged status.</w:t>
            </w:r>
          </w:p>
          <w:p w14:paraId="63EFDC2B" w14:textId="77777777" w:rsidR="00A40828" w:rsidRPr="006E5FA8" w:rsidRDefault="00A40828" w:rsidP="00A40828">
            <w:pPr>
              <w:numPr>
                <w:ilvl w:val="0"/>
                <w:numId w:val="20"/>
              </w:num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Member, s</w:t>
            </w:r>
            <w:r w:rsidRPr="006E5FA8">
              <w:rPr>
                <w:rFonts w:ascii="Calibri" w:eastAsia="Times New Roman" w:hAnsi="Calibri" w:cs="Calibri"/>
                <w:lang w:eastAsia="en-GB"/>
              </w:rPr>
              <w:t>taff often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t</w:t>
            </w:r>
            <w:r w:rsidRPr="0096128D">
              <w:rPr>
                <w:rFonts w:ascii="Calibri" w:eastAsia="Times New Roman" w:hAnsi="Calibri" w:cs="Calibri"/>
                <w:lang w:eastAsia="en-GB"/>
              </w:rPr>
              <w:t>rust students’ accounts but may remain cautious.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96128D">
              <w:rPr>
                <w:rFonts w:ascii="Calibri" w:eastAsia="Times New Roman" w:hAnsi="Calibri" w:cs="Calibri"/>
                <w:lang w:eastAsia="en-GB"/>
              </w:rPr>
              <w:t>Advocate strongly and “fight” cases where needed.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Down to SLC to “police” if estrangement is genuine. </w:t>
            </w:r>
          </w:p>
          <w:p w14:paraId="03DE4E04" w14:textId="77777777" w:rsidR="00A40828" w:rsidRPr="0096128D" w:rsidRDefault="00A40828" w:rsidP="00A40828">
            <w:pPr>
              <w:pStyle w:val="ListParagraph"/>
              <w:numPr>
                <w:ilvl w:val="0"/>
                <w:numId w:val="18"/>
              </w:numPr>
              <w:spacing w:line="300" w:lineRule="atLeas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Member has seen increase in </w:t>
            </w:r>
            <w:r w:rsidRPr="0096128D">
              <w:rPr>
                <w:rFonts w:ascii="Calibri" w:eastAsia="Times New Roman" w:hAnsi="Calibri" w:cs="Calibri"/>
                <w:lang w:eastAsia="en-GB"/>
              </w:rPr>
              <w:t>academics acting as third-party evidence providers.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They have been approached by more academics. </w:t>
            </w:r>
            <w:r w:rsidRPr="0096128D">
              <w:rPr>
                <w:rFonts w:ascii="Calibri" w:eastAsia="Times New Roman" w:hAnsi="Calibri" w:cs="Calibri"/>
                <w:lang w:eastAsia="en-GB"/>
              </w:rPr>
              <w:t>Some academics may be better placed due to closer relationships with students.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Their i</w:t>
            </w:r>
            <w:r w:rsidRPr="0096128D">
              <w:rPr>
                <w:rFonts w:ascii="Calibri" w:eastAsia="Times New Roman" w:hAnsi="Calibri" w:cs="Calibri"/>
                <w:lang w:eastAsia="en-GB"/>
              </w:rPr>
              <w:t>nstitution creating guidance documents to support staff in this role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of completing the confirmation of estrangement form for students. This idea was based </w:t>
            </w:r>
            <w:proofErr w:type="gramStart"/>
            <w:r>
              <w:rPr>
                <w:rFonts w:ascii="Calibri" w:eastAsia="Times New Roman" w:hAnsi="Calibri" w:cs="Calibri"/>
                <w:lang w:eastAsia="en-GB"/>
              </w:rPr>
              <w:t>from</w:t>
            </w:r>
            <w:proofErr w:type="gramEnd"/>
            <w:r>
              <w:rPr>
                <w:rFonts w:ascii="Calibri" w:eastAsia="Times New Roman" w:hAnsi="Calibri" w:cs="Calibri"/>
                <w:lang w:eastAsia="en-GB"/>
              </w:rPr>
              <w:t xml:space="preserve"> a NASMA thread, which was helpful.</w:t>
            </w:r>
          </w:p>
          <w:p w14:paraId="0263B49E" w14:textId="77777777" w:rsidR="00A40828" w:rsidRPr="006E5FA8" w:rsidRDefault="00A40828" w:rsidP="00A40828">
            <w:pPr>
              <w:spacing w:line="300" w:lineRule="atLeast"/>
              <w:rPr>
                <w:rFonts w:ascii="Calibri" w:eastAsia="Times New Roman" w:hAnsi="Calibri" w:cs="Calibri"/>
                <w:lang w:eastAsia="en-GB"/>
              </w:rPr>
            </w:pPr>
          </w:p>
          <w:p w14:paraId="4614B79D" w14:textId="77777777" w:rsidR="00A40828" w:rsidRPr="0096128D" w:rsidRDefault="00A40828" w:rsidP="00A40828">
            <w:pPr>
              <w:numPr>
                <w:ilvl w:val="0"/>
                <w:numId w:val="21"/>
              </w:num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Segoe UI Emoji" w:eastAsia="Times New Roman" w:hAnsi="Segoe UI Emoji" w:cs="Segoe UI Emoji"/>
                <w:lang w:eastAsia="en-GB"/>
              </w:rPr>
              <w:t xml:space="preserve">Members </w:t>
            </w:r>
            <w:r>
              <w:rPr>
                <w:rFonts w:ascii="Calibri" w:eastAsia="Times New Roman" w:hAnsi="Calibri" w:cs="Calibri"/>
                <w:lang w:eastAsia="en-GB"/>
              </w:rPr>
              <w:t>a</w:t>
            </w:r>
            <w:r w:rsidRPr="006E5FA8">
              <w:rPr>
                <w:rFonts w:ascii="Calibri" w:eastAsia="Times New Roman" w:hAnsi="Calibri" w:cs="Calibri"/>
                <w:lang w:eastAsia="en-GB"/>
              </w:rPr>
              <w:t>cknowledgement that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s</w:t>
            </w:r>
            <w:r w:rsidRPr="0096128D">
              <w:rPr>
                <w:rFonts w:ascii="Calibri" w:eastAsia="Times New Roman" w:hAnsi="Calibri" w:cs="Calibri"/>
                <w:lang w:eastAsia="en-GB"/>
              </w:rPr>
              <w:t>ome students may exploit loopholes.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96128D">
              <w:rPr>
                <w:rFonts w:ascii="Calibri" w:eastAsia="Times New Roman" w:hAnsi="Calibri" w:cs="Calibri"/>
                <w:lang w:eastAsia="en-GB"/>
              </w:rPr>
              <w:t>However, this is driven by financial need and system limitations.</w:t>
            </w:r>
          </w:p>
          <w:p w14:paraId="23D4CDF1" w14:textId="77777777" w:rsidR="00A40828" w:rsidRPr="0096128D" w:rsidRDefault="00A40828" w:rsidP="00A40828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300" w:lineRule="atLeast"/>
              <w:outlineLvl w:val="2"/>
              <w:rPr>
                <w:rFonts w:ascii="Calibri" w:eastAsia="Times New Roman" w:hAnsi="Calibri" w:cs="Calibri"/>
                <w:lang w:eastAsia="en-GB"/>
              </w:rPr>
            </w:pPr>
            <w:r w:rsidRPr="0096128D">
              <w:rPr>
                <w:rFonts w:ascii="Calibri" w:eastAsia="Times New Roman" w:hAnsi="Calibri" w:cs="Calibri"/>
                <w:lang w:eastAsia="en-GB"/>
              </w:rPr>
              <w:t>Institutional bursaries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for members are t</w:t>
            </w:r>
            <w:r w:rsidRPr="0096128D">
              <w:rPr>
                <w:rFonts w:ascii="Calibri" w:eastAsia="Times New Roman" w:hAnsi="Calibri" w:cs="Calibri"/>
                <w:lang w:eastAsia="en-GB"/>
              </w:rPr>
              <w:t>ypically tied to SFE estrangement decision.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96128D">
              <w:rPr>
                <w:rFonts w:ascii="Calibri" w:eastAsia="Times New Roman" w:hAnsi="Calibri" w:cs="Calibri"/>
                <w:lang w:eastAsia="en-GB"/>
              </w:rPr>
              <w:t>If rejected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s</w:t>
            </w:r>
            <w:r w:rsidRPr="0096128D">
              <w:rPr>
                <w:rFonts w:ascii="Calibri" w:eastAsia="Times New Roman" w:hAnsi="Calibri" w:cs="Calibri"/>
                <w:lang w:eastAsia="en-GB"/>
              </w:rPr>
              <w:t>tudents may access hardship funds instead.</w:t>
            </w:r>
          </w:p>
          <w:p w14:paraId="35ED611B" w14:textId="77777777" w:rsidR="00A40828" w:rsidRDefault="00A40828" w:rsidP="00A40828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Members c</w:t>
            </w:r>
            <w:r w:rsidRPr="006E5FA8">
              <w:rPr>
                <w:rFonts w:ascii="Calibri" w:eastAsia="Times New Roman" w:hAnsi="Calibri" w:cs="Calibri"/>
                <w:lang w:eastAsia="en-GB"/>
              </w:rPr>
              <w:t>oncern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g</w:t>
            </w:r>
            <w:r w:rsidRPr="0096128D">
              <w:rPr>
                <w:rFonts w:ascii="Calibri" w:eastAsia="Times New Roman" w:hAnsi="Calibri" w:cs="Calibri"/>
                <w:lang w:eastAsia="en-GB"/>
              </w:rPr>
              <w:t>rowing demand vs limited institutional budgets.</w:t>
            </w:r>
          </w:p>
          <w:p w14:paraId="6EB31861" w14:textId="77777777" w:rsidR="00A40828" w:rsidRPr="009F2E09" w:rsidRDefault="00A40828" w:rsidP="00A40828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  <w:r w:rsidRPr="009F2E09">
              <w:rPr>
                <w:rFonts w:ascii="Calibri" w:eastAsia="Times New Roman" w:hAnsi="Calibri" w:cs="Calibri"/>
                <w:lang w:eastAsia="en-GB"/>
              </w:rPr>
              <w:t>Best Practice for managing cases discussed</w:t>
            </w:r>
          </w:p>
          <w:p w14:paraId="5FFAF257" w14:textId="7C70F799" w:rsidR="00B22D12" w:rsidRPr="00820C7A" w:rsidRDefault="00B22D12" w:rsidP="00F50E0E">
            <w:pPr>
              <w:pStyle w:val="ListParagraph"/>
              <w:rPr>
                <w:bCs/>
              </w:rPr>
            </w:pPr>
          </w:p>
        </w:tc>
        <w:tc>
          <w:tcPr>
            <w:tcW w:w="624" w:type="pct"/>
            <w:shd w:val="clear" w:color="auto" w:fill="FFFFFF" w:themeFill="background1"/>
          </w:tcPr>
          <w:p w14:paraId="392FCE32" w14:textId="77777777" w:rsidR="00A31AB4" w:rsidRDefault="00A31AB4" w:rsidP="00A94D45">
            <w:pPr>
              <w:rPr>
                <w:b/>
              </w:rPr>
            </w:pPr>
          </w:p>
        </w:tc>
      </w:tr>
      <w:tr w:rsidR="00A94D45" w14:paraId="64B5080D" w14:textId="77777777" w:rsidTr="00F27B52">
        <w:tc>
          <w:tcPr>
            <w:tcW w:w="195" w:type="pct"/>
            <w:shd w:val="clear" w:color="auto" w:fill="E5DFEC" w:themeFill="accent4" w:themeFillTint="33"/>
          </w:tcPr>
          <w:p w14:paraId="4222DF17" w14:textId="51286203" w:rsidR="00A94D45" w:rsidRPr="00F35FA0" w:rsidRDefault="0015488E" w:rsidP="00A94D45">
            <w:pPr>
              <w:rPr>
                <w:b/>
              </w:rPr>
            </w:pPr>
            <w:bookmarkStart w:id="0" w:name="_Hlk106190854"/>
            <w:r>
              <w:rPr>
                <w:b/>
              </w:rPr>
              <w:t>6</w:t>
            </w:r>
          </w:p>
        </w:tc>
        <w:tc>
          <w:tcPr>
            <w:tcW w:w="4181" w:type="pct"/>
            <w:gridSpan w:val="2"/>
            <w:shd w:val="clear" w:color="auto" w:fill="E5DFEC" w:themeFill="accent4" w:themeFillTint="33"/>
          </w:tcPr>
          <w:p w14:paraId="4ED54BD2" w14:textId="44C21AAF" w:rsidR="00A94D45" w:rsidRPr="00F35FA0" w:rsidRDefault="00F7556B" w:rsidP="00A94D45">
            <w:pPr>
              <w:rPr>
                <w:b/>
              </w:rPr>
            </w:pPr>
            <w:r w:rsidRPr="009D2903">
              <w:rPr>
                <w:rFonts w:cstheme="minorHAnsi"/>
                <w:b/>
                <w:bCs/>
                <w:sz w:val="24"/>
                <w:szCs w:val="24"/>
              </w:rPr>
              <w:t>Open Day Preparation for 27/28</w:t>
            </w:r>
          </w:p>
        </w:tc>
        <w:tc>
          <w:tcPr>
            <w:tcW w:w="624" w:type="pct"/>
            <w:shd w:val="clear" w:color="auto" w:fill="E5DFEC" w:themeFill="accent4" w:themeFillTint="33"/>
          </w:tcPr>
          <w:p w14:paraId="67CAA8A7" w14:textId="0DC6FAE7" w:rsidR="00A94D45" w:rsidRPr="00F27B52" w:rsidRDefault="00A94D45" w:rsidP="00A94D45">
            <w:pPr>
              <w:rPr>
                <w:bCs/>
              </w:rPr>
            </w:pPr>
            <w:r w:rsidRPr="00F27B52">
              <w:rPr>
                <w:bCs/>
              </w:rPr>
              <w:t>Action</w:t>
            </w:r>
          </w:p>
        </w:tc>
      </w:tr>
      <w:tr w:rsidR="00A94D45" w14:paraId="7BC96E01" w14:textId="77777777" w:rsidTr="00F27B52">
        <w:tc>
          <w:tcPr>
            <w:tcW w:w="195" w:type="pct"/>
          </w:tcPr>
          <w:p w14:paraId="74768FC2" w14:textId="77777777" w:rsidR="00A94D45" w:rsidRDefault="00A94D45" w:rsidP="00A94D45">
            <w:pPr>
              <w:rPr>
                <w:b/>
              </w:rPr>
            </w:pPr>
          </w:p>
        </w:tc>
        <w:tc>
          <w:tcPr>
            <w:tcW w:w="4181" w:type="pct"/>
            <w:gridSpan w:val="2"/>
          </w:tcPr>
          <w:p w14:paraId="4A6F7F30" w14:textId="62B702B6" w:rsidR="00E4245A" w:rsidRPr="00335C3B" w:rsidRDefault="005C08E8" w:rsidP="00E4245A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 w:line="300" w:lineRule="atLeast"/>
              <w:outlineLvl w:val="2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RS </w:t>
            </w:r>
            <w:r w:rsidR="00E4245A" w:rsidRPr="00945A8E">
              <w:rPr>
                <w:rFonts w:ascii="Calibri" w:eastAsia="Times New Roman" w:hAnsi="Calibri" w:cs="Calibri"/>
                <w:lang w:eastAsia="en-GB"/>
              </w:rPr>
              <w:t>Open Day Preparation Overview</w:t>
            </w:r>
            <w:r w:rsidR="00E4245A">
              <w:rPr>
                <w:rFonts w:ascii="Calibri" w:eastAsia="Times New Roman" w:hAnsi="Calibri" w:cs="Calibri"/>
                <w:lang w:eastAsia="en-GB"/>
              </w:rPr>
              <w:t>, must</w:t>
            </w:r>
            <w:r w:rsidR="00E4245A" w:rsidRPr="00335C3B">
              <w:rPr>
                <w:rFonts w:ascii="Calibri" w:eastAsia="Times New Roman" w:hAnsi="Calibri" w:cs="Calibri"/>
                <w:lang w:eastAsia="en-GB"/>
              </w:rPr>
              <w:t xml:space="preserve"> ensure factual accuracy due to CMA legal risk </w:t>
            </w:r>
          </w:p>
          <w:p w14:paraId="326F2F54" w14:textId="77777777" w:rsidR="00E4245A" w:rsidRPr="00335C3B" w:rsidRDefault="00E4245A" w:rsidP="00E4245A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  <w:r w:rsidRPr="00335C3B">
              <w:rPr>
                <w:rFonts w:ascii="Calibri" w:eastAsia="Times New Roman" w:hAnsi="Calibri" w:cs="Calibri"/>
                <w:lang w:eastAsia="en-GB"/>
              </w:rPr>
              <w:t>Incorrect information influencing decisions could lead to legal and financial consequences</w:t>
            </w:r>
          </w:p>
          <w:p w14:paraId="761D1816" w14:textId="0240FE25" w:rsidR="00E4245A" w:rsidRPr="00E4245A" w:rsidRDefault="00E4245A" w:rsidP="00E4245A">
            <w:pPr>
              <w:pStyle w:val="ListParagraph"/>
              <w:numPr>
                <w:ilvl w:val="0"/>
                <w:numId w:val="24"/>
              </w:numPr>
              <w:spacing w:line="300" w:lineRule="atLeast"/>
              <w:rPr>
                <w:rFonts w:ascii="Calibri" w:eastAsia="Times New Roman" w:hAnsi="Calibri" w:cs="Calibri"/>
                <w:lang w:eastAsia="en-GB"/>
              </w:rPr>
            </w:pPr>
            <w:r w:rsidRPr="00335C3B">
              <w:rPr>
                <w:rFonts w:ascii="Calibri" w:eastAsia="Times New Roman" w:hAnsi="Calibri" w:cs="Calibri"/>
                <w:lang w:eastAsia="en-GB"/>
              </w:rPr>
              <w:t>Upcoming Changes / Challenges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335C3B">
              <w:rPr>
                <w:rFonts w:ascii="Calibri" w:eastAsia="Times New Roman" w:hAnsi="Calibri" w:cs="Calibri"/>
                <w:lang w:eastAsia="en-GB"/>
              </w:rPr>
              <w:t>June intake not finalised yet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. </w:t>
            </w:r>
            <w:r w:rsidRPr="00335C3B">
              <w:rPr>
                <w:rFonts w:ascii="Calibri" w:eastAsia="Times New Roman" w:hAnsi="Calibri" w:cs="Calibri"/>
                <w:lang w:eastAsia="en-GB"/>
              </w:rPr>
              <w:t xml:space="preserve">Need to adapt content for </w:t>
            </w:r>
            <w:r>
              <w:rPr>
                <w:rFonts w:ascii="Calibri" w:eastAsia="Times New Roman" w:hAnsi="Calibri" w:cs="Calibri"/>
                <w:lang w:eastAsia="en-GB"/>
              </w:rPr>
              <w:t>LLE-</w:t>
            </w:r>
            <w:r w:rsidRPr="00335C3B">
              <w:rPr>
                <w:rFonts w:ascii="Calibri" w:eastAsia="Times New Roman" w:hAnsi="Calibri" w:cs="Calibri"/>
                <w:lang w:eastAsia="en-GB"/>
              </w:rPr>
              <w:t xml:space="preserve">new funding model (“pot of money” concept) </w:t>
            </w:r>
          </w:p>
          <w:p w14:paraId="5531FDE6" w14:textId="77777777" w:rsidR="00E4245A" w:rsidRPr="00945A8E" w:rsidRDefault="00E4245A" w:rsidP="00E4245A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 w:line="300" w:lineRule="atLeast"/>
              <w:outlineLvl w:val="2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What are members a</w:t>
            </w:r>
            <w:r w:rsidRPr="00945A8E">
              <w:rPr>
                <w:rFonts w:ascii="Calibri" w:eastAsia="Times New Roman" w:hAnsi="Calibri" w:cs="Calibri"/>
                <w:lang w:eastAsia="en-GB"/>
              </w:rPr>
              <w:t>pproaches to Complex Topics (e.g. Previous Study, LLE)</w:t>
            </w:r>
          </w:p>
          <w:p w14:paraId="1347E78B" w14:textId="1BF6EEE0" w:rsidR="00E4245A" w:rsidRPr="00E4245A" w:rsidRDefault="00E4245A" w:rsidP="00E4245A">
            <w:pPr>
              <w:numPr>
                <w:ilvl w:val="0"/>
                <w:numId w:val="24"/>
              </w:num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Members s</w:t>
            </w:r>
            <w:r w:rsidRPr="00945A8E">
              <w:rPr>
                <w:rFonts w:ascii="Calibri" w:eastAsia="Times New Roman" w:hAnsi="Calibri" w:cs="Calibri"/>
                <w:lang w:eastAsia="en-GB"/>
              </w:rPr>
              <w:t xml:space="preserve">uggested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best practice is to offer </w:t>
            </w:r>
            <w:r w:rsidRPr="00335C3B">
              <w:rPr>
                <w:rFonts w:ascii="Calibri" w:eastAsia="Times New Roman" w:hAnsi="Calibri" w:cs="Calibri"/>
                <w:lang w:eastAsia="en-GB"/>
              </w:rPr>
              <w:t>post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335C3B">
              <w:rPr>
                <w:rFonts w:ascii="Calibri" w:eastAsia="Times New Roman" w:hAnsi="Calibri" w:cs="Calibri"/>
                <w:lang w:eastAsia="en-GB"/>
              </w:rPr>
              <w:t>event appointments (e.g. 15-minute calls)</w:t>
            </w:r>
          </w:p>
          <w:p w14:paraId="488A84BB" w14:textId="77777777" w:rsidR="00E4245A" w:rsidRPr="00335C3B" w:rsidRDefault="00E4245A" w:rsidP="00E4245A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 w:line="300" w:lineRule="atLeast"/>
              <w:outlineLvl w:val="2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Members i</w:t>
            </w:r>
            <w:r w:rsidRPr="00945A8E">
              <w:rPr>
                <w:rFonts w:ascii="Calibri" w:eastAsia="Times New Roman" w:hAnsi="Calibri" w:cs="Calibri"/>
                <w:lang w:eastAsia="en-GB"/>
              </w:rPr>
              <w:t xml:space="preserve">nstitutional </w:t>
            </w:r>
            <w:r>
              <w:rPr>
                <w:rFonts w:ascii="Calibri" w:eastAsia="Times New Roman" w:hAnsi="Calibri" w:cs="Calibri"/>
                <w:lang w:eastAsia="en-GB"/>
              </w:rPr>
              <w:t>c</w:t>
            </w:r>
            <w:r w:rsidRPr="00945A8E">
              <w:rPr>
                <w:rFonts w:ascii="Calibri" w:eastAsia="Times New Roman" w:hAnsi="Calibri" w:cs="Calibri"/>
                <w:lang w:eastAsia="en-GB"/>
              </w:rPr>
              <w:t>hallenges</w:t>
            </w:r>
            <w:r>
              <w:rPr>
                <w:rFonts w:ascii="Calibri" w:eastAsia="Times New Roman" w:hAnsi="Calibri" w:cs="Calibri"/>
                <w:lang w:eastAsia="en-GB"/>
              </w:rPr>
              <w:t>, s</w:t>
            </w:r>
            <w:r w:rsidRPr="00335C3B">
              <w:rPr>
                <w:rFonts w:ascii="Calibri" w:eastAsia="Times New Roman" w:hAnsi="Calibri" w:cs="Calibri"/>
                <w:lang w:eastAsia="en-GB"/>
              </w:rPr>
              <w:t>hort on preparation time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and w</w:t>
            </w:r>
            <w:r w:rsidRPr="00335C3B">
              <w:rPr>
                <w:rFonts w:ascii="Calibri" w:eastAsia="Times New Roman" w:hAnsi="Calibri" w:cs="Calibri"/>
                <w:lang w:eastAsia="en-GB"/>
              </w:rPr>
              <w:t xml:space="preserve">aiting for legislation clarity and guidance </w:t>
            </w:r>
            <w:r>
              <w:rPr>
                <w:rFonts w:ascii="Calibri" w:eastAsia="Times New Roman" w:hAnsi="Calibri" w:cs="Calibri"/>
                <w:lang w:eastAsia="en-GB"/>
              </w:rPr>
              <w:t>on LLE from DfE and SLC</w:t>
            </w:r>
          </w:p>
          <w:p w14:paraId="0512CD7C" w14:textId="77777777" w:rsidR="00E4245A" w:rsidRPr="00335C3B" w:rsidRDefault="00E4245A" w:rsidP="00E4245A">
            <w:pPr>
              <w:numPr>
                <w:ilvl w:val="0"/>
                <w:numId w:val="24"/>
              </w:num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Member’s consensus, d</w:t>
            </w:r>
            <w:r w:rsidRPr="00335C3B">
              <w:rPr>
                <w:rFonts w:ascii="Calibri" w:eastAsia="Times New Roman" w:hAnsi="Calibri" w:cs="Calibri"/>
                <w:lang w:eastAsia="en-GB"/>
              </w:rPr>
              <w:t>o not go into deep detail on uncertain or complex areas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and to p</w:t>
            </w:r>
            <w:r w:rsidRPr="00335C3B">
              <w:rPr>
                <w:rFonts w:ascii="Calibri" w:eastAsia="Times New Roman" w:hAnsi="Calibri" w:cs="Calibri"/>
                <w:lang w:eastAsia="en-GB"/>
              </w:rPr>
              <w:t>rovide high-level overview only</w:t>
            </w:r>
          </w:p>
          <w:p w14:paraId="037608C1" w14:textId="725BE510" w:rsidR="00A432A2" w:rsidRPr="006104D1" w:rsidRDefault="00A432A2" w:rsidP="00F50E0E">
            <w:pPr>
              <w:pStyle w:val="ListParagraph"/>
              <w:rPr>
                <w:bCs/>
              </w:rPr>
            </w:pPr>
          </w:p>
        </w:tc>
        <w:tc>
          <w:tcPr>
            <w:tcW w:w="624" w:type="pct"/>
          </w:tcPr>
          <w:p w14:paraId="623A9094" w14:textId="73B6A93E" w:rsidR="00A94D45" w:rsidRDefault="00A94D45" w:rsidP="00A94D45">
            <w:pPr>
              <w:rPr>
                <w:bCs/>
              </w:rPr>
            </w:pPr>
          </w:p>
        </w:tc>
      </w:tr>
      <w:tr w:rsidR="003C7D30" w14:paraId="0F360B26" w14:textId="77777777" w:rsidTr="003B12DC">
        <w:tc>
          <w:tcPr>
            <w:tcW w:w="195" w:type="pct"/>
            <w:shd w:val="clear" w:color="auto" w:fill="E5DFEC" w:themeFill="accent4" w:themeFillTint="33"/>
          </w:tcPr>
          <w:p w14:paraId="63D019DE" w14:textId="1228F0A1" w:rsidR="003C7D30" w:rsidRPr="00F35FA0" w:rsidRDefault="009F0EAC" w:rsidP="003C7D3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81" w:type="pct"/>
            <w:gridSpan w:val="2"/>
            <w:shd w:val="clear" w:color="auto" w:fill="E5DFEC" w:themeFill="accent4" w:themeFillTint="33"/>
          </w:tcPr>
          <w:p w14:paraId="417D38E2" w14:textId="1F712B0A" w:rsidR="003C7D30" w:rsidRPr="00F35FA0" w:rsidRDefault="00D76BF7" w:rsidP="003C7D30">
            <w:pPr>
              <w:rPr>
                <w:b/>
              </w:rPr>
            </w:pPr>
            <w:r w:rsidRPr="009D2903">
              <w:rPr>
                <w:rFonts w:cstheme="minorHAnsi"/>
                <w:b/>
                <w:bCs/>
                <w:sz w:val="24"/>
                <w:szCs w:val="24"/>
              </w:rPr>
              <w:t>What the Group Wants Going Forward</w:t>
            </w:r>
            <w:r>
              <w:rPr>
                <w:b/>
              </w:rPr>
              <w:t xml:space="preserve"> </w:t>
            </w:r>
          </w:p>
        </w:tc>
        <w:tc>
          <w:tcPr>
            <w:tcW w:w="624" w:type="pct"/>
            <w:shd w:val="clear" w:color="auto" w:fill="E5DFEC" w:themeFill="accent4" w:themeFillTint="33"/>
          </w:tcPr>
          <w:p w14:paraId="7BFC0AC4" w14:textId="77777777" w:rsidR="003C7D30" w:rsidRPr="00F27B52" w:rsidRDefault="003C7D30" w:rsidP="003C7D30">
            <w:pPr>
              <w:rPr>
                <w:bCs/>
              </w:rPr>
            </w:pPr>
            <w:r w:rsidRPr="00F27B52">
              <w:rPr>
                <w:bCs/>
              </w:rPr>
              <w:t>Action</w:t>
            </w:r>
          </w:p>
        </w:tc>
      </w:tr>
      <w:tr w:rsidR="003C7D30" w14:paraId="743BB687" w14:textId="77777777" w:rsidTr="00F27B52">
        <w:tc>
          <w:tcPr>
            <w:tcW w:w="195" w:type="pct"/>
          </w:tcPr>
          <w:p w14:paraId="0BBA61D7" w14:textId="77777777" w:rsidR="003C7D30" w:rsidRDefault="003C7D30" w:rsidP="00A94D45">
            <w:pPr>
              <w:rPr>
                <w:b/>
              </w:rPr>
            </w:pPr>
          </w:p>
        </w:tc>
        <w:tc>
          <w:tcPr>
            <w:tcW w:w="4181" w:type="pct"/>
            <w:gridSpan w:val="2"/>
          </w:tcPr>
          <w:p w14:paraId="1C0D22F7" w14:textId="02068DCF" w:rsidR="005A0874" w:rsidRPr="005C08E8" w:rsidRDefault="005C08E8" w:rsidP="005C08E8">
            <w:pPr>
              <w:pStyle w:val="ListParagraph"/>
              <w:numPr>
                <w:ilvl w:val="0"/>
                <w:numId w:val="25"/>
              </w:numPr>
              <w:rPr>
                <w:bCs/>
              </w:rPr>
            </w:pPr>
            <w:r w:rsidRPr="005C08E8">
              <w:rPr>
                <w:bCs/>
              </w:rPr>
              <w:t>RS</w:t>
            </w:r>
            <w:r w:rsidR="005A0874" w:rsidRPr="005C08E8">
              <w:rPr>
                <w:bCs/>
              </w:rPr>
              <w:t xml:space="preserve"> offers direct support and is open to questions anytime</w:t>
            </w:r>
          </w:p>
          <w:p w14:paraId="14896569" w14:textId="3F82CA3D" w:rsidR="005A0874" w:rsidRPr="005C08E8" w:rsidRDefault="005A0874" w:rsidP="005C08E8">
            <w:pPr>
              <w:pStyle w:val="ListParagraph"/>
              <w:numPr>
                <w:ilvl w:val="0"/>
                <w:numId w:val="25"/>
              </w:numPr>
              <w:rPr>
                <w:bCs/>
              </w:rPr>
            </w:pPr>
            <w:r w:rsidRPr="005C08E8">
              <w:rPr>
                <w:bCs/>
              </w:rPr>
              <w:t xml:space="preserve">Discussion on future structure of the group, </w:t>
            </w:r>
            <w:r w:rsidR="005C08E8" w:rsidRPr="005C08E8">
              <w:rPr>
                <w:bCs/>
              </w:rPr>
              <w:t>C</w:t>
            </w:r>
            <w:r w:rsidRPr="005C08E8">
              <w:rPr>
                <w:bCs/>
              </w:rPr>
              <w:t xml:space="preserve">ontinue current format </w:t>
            </w:r>
            <w:proofErr w:type="gramStart"/>
            <w:r w:rsidRPr="005C08E8">
              <w:rPr>
                <w:bCs/>
              </w:rPr>
              <w:t>Or</w:t>
            </w:r>
            <w:proofErr w:type="gramEnd"/>
            <w:r w:rsidRPr="005C08E8">
              <w:rPr>
                <w:bCs/>
              </w:rPr>
              <w:t xml:space="preserve"> switch to shorter, more frequent sessions (e.g. every 6–8 weeks)</w:t>
            </w:r>
          </w:p>
          <w:p w14:paraId="76043B71" w14:textId="77777777" w:rsidR="005A0874" w:rsidRPr="005C08E8" w:rsidRDefault="005A0874" w:rsidP="005C08E8">
            <w:pPr>
              <w:pStyle w:val="ListParagraph"/>
              <w:numPr>
                <w:ilvl w:val="0"/>
                <w:numId w:val="25"/>
              </w:numPr>
              <w:rPr>
                <w:bCs/>
              </w:rPr>
            </w:pPr>
            <w:r w:rsidRPr="005C08E8">
              <w:rPr>
                <w:bCs/>
              </w:rPr>
              <w:lastRenderedPageBreak/>
              <w:t>Suggestion to create a regional (</w:t>
            </w:r>
            <w:proofErr w:type="gramStart"/>
            <w:r w:rsidRPr="005C08E8">
              <w:rPr>
                <w:bCs/>
              </w:rPr>
              <w:t>North East</w:t>
            </w:r>
            <w:proofErr w:type="gramEnd"/>
            <w:r w:rsidRPr="005C08E8">
              <w:rPr>
                <w:bCs/>
              </w:rPr>
              <w:t>) communication space</w:t>
            </w:r>
          </w:p>
          <w:p w14:paraId="51833F4C" w14:textId="5002484F" w:rsidR="005A0874" w:rsidRPr="005C08E8" w:rsidRDefault="005A0874" w:rsidP="005C08E8">
            <w:pPr>
              <w:pStyle w:val="ListParagraph"/>
              <w:numPr>
                <w:ilvl w:val="0"/>
                <w:numId w:val="25"/>
              </w:numPr>
              <w:rPr>
                <w:bCs/>
              </w:rPr>
            </w:pPr>
            <w:r w:rsidRPr="005C08E8">
              <w:rPr>
                <w:bCs/>
              </w:rPr>
              <w:t>Invitation for members to share feedback during the meeting or via email</w:t>
            </w:r>
          </w:p>
          <w:p w14:paraId="525B1F11" w14:textId="3B940959" w:rsidR="005A0874" w:rsidRPr="005C08E8" w:rsidRDefault="005A0874" w:rsidP="005C08E8">
            <w:pPr>
              <w:pStyle w:val="ListParagraph"/>
              <w:numPr>
                <w:ilvl w:val="0"/>
                <w:numId w:val="25"/>
              </w:numPr>
              <w:rPr>
                <w:bCs/>
              </w:rPr>
            </w:pPr>
            <w:r w:rsidRPr="005C08E8">
              <w:rPr>
                <w:bCs/>
              </w:rPr>
              <w:t>Participate in future vote on preferred format</w:t>
            </w:r>
          </w:p>
          <w:p w14:paraId="08481F38" w14:textId="39377FF6" w:rsidR="003C7D30" w:rsidRPr="006133C5" w:rsidRDefault="003C7D30" w:rsidP="005A0874">
            <w:pPr>
              <w:rPr>
                <w:bCs/>
              </w:rPr>
            </w:pPr>
          </w:p>
        </w:tc>
        <w:tc>
          <w:tcPr>
            <w:tcW w:w="624" w:type="pct"/>
          </w:tcPr>
          <w:p w14:paraId="51E25DF7" w14:textId="3E3FA99B" w:rsidR="003C7D30" w:rsidRDefault="003C7D30" w:rsidP="00A94D45">
            <w:pPr>
              <w:rPr>
                <w:bCs/>
              </w:rPr>
            </w:pPr>
          </w:p>
        </w:tc>
      </w:tr>
      <w:tr w:rsidR="00D76BF7" w14:paraId="2AD89AF4" w14:textId="77777777" w:rsidTr="00F27B52">
        <w:tc>
          <w:tcPr>
            <w:tcW w:w="195" w:type="pct"/>
          </w:tcPr>
          <w:p w14:paraId="505F2669" w14:textId="040668D0" w:rsidR="00D76BF7" w:rsidRDefault="007D5693" w:rsidP="00D76BF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181" w:type="pct"/>
            <w:gridSpan w:val="2"/>
          </w:tcPr>
          <w:p w14:paraId="6D516A0D" w14:textId="725A2083" w:rsidR="00D76BF7" w:rsidRDefault="00D76BF7" w:rsidP="00D76BF7">
            <w:pPr>
              <w:rPr>
                <w:bC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AOB</w:t>
            </w:r>
            <w:r>
              <w:rPr>
                <w:b/>
              </w:rPr>
              <w:t xml:space="preserve"> </w:t>
            </w:r>
          </w:p>
        </w:tc>
        <w:tc>
          <w:tcPr>
            <w:tcW w:w="624" w:type="pct"/>
          </w:tcPr>
          <w:p w14:paraId="675E61BE" w14:textId="229E6240" w:rsidR="00D76BF7" w:rsidRDefault="00D76BF7" w:rsidP="00D76BF7">
            <w:pPr>
              <w:rPr>
                <w:bCs/>
              </w:rPr>
            </w:pPr>
            <w:r w:rsidRPr="00F27B52">
              <w:rPr>
                <w:bCs/>
              </w:rPr>
              <w:t>Action</w:t>
            </w:r>
          </w:p>
        </w:tc>
      </w:tr>
      <w:tr w:rsidR="007D5693" w14:paraId="680EE25F" w14:textId="77777777" w:rsidTr="00F27B52">
        <w:tc>
          <w:tcPr>
            <w:tcW w:w="195" w:type="pct"/>
          </w:tcPr>
          <w:p w14:paraId="78ADF0EF" w14:textId="77777777" w:rsidR="007D5693" w:rsidRDefault="007D5693" w:rsidP="00D76BF7">
            <w:pPr>
              <w:rPr>
                <w:b/>
              </w:rPr>
            </w:pPr>
          </w:p>
        </w:tc>
        <w:tc>
          <w:tcPr>
            <w:tcW w:w="4181" w:type="pct"/>
            <w:gridSpan w:val="2"/>
          </w:tcPr>
          <w:p w14:paraId="0DB89751" w14:textId="77777777" w:rsidR="00372E06" w:rsidRPr="00EF4560" w:rsidRDefault="00372E06" w:rsidP="00372E06">
            <w:pPr>
              <w:spacing w:before="100" w:beforeAutospacing="1" w:after="100" w:afterAutospacing="1" w:line="300" w:lineRule="atLeast"/>
              <w:outlineLvl w:val="1"/>
              <w:rPr>
                <w:rFonts w:ascii="Calibri" w:eastAsia="Times New Roman" w:hAnsi="Calibri" w:cs="Calibri"/>
                <w:lang w:eastAsia="en-GB"/>
              </w:rPr>
            </w:pPr>
            <w:r w:rsidRPr="00EF4560">
              <w:rPr>
                <w:rFonts w:ascii="Calibri" w:eastAsia="Times New Roman" w:hAnsi="Calibri" w:cs="Calibri"/>
                <w:lang w:eastAsia="en-GB"/>
              </w:rPr>
              <w:t xml:space="preserve">AOB </w:t>
            </w:r>
            <w:r>
              <w:rPr>
                <w:rFonts w:ascii="Calibri" w:eastAsia="Times New Roman" w:hAnsi="Calibri" w:cs="Calibri"/>
                <w:lang w:eastAsia="en-GB"/>
              </w:rPr>
              <w:t>-Members discussion</w:t>
            </w:r>
          </w:p>
          <w:p w14:paraId="7D91AF5A" w14:textId="77777777" w:rsidR="00372E06" w:rsidRPr="00EF4560" w:rsidRDefault="00372E06" w:rsidP="00372E06">
            <w:pPr>
              <w:numPr>
                <w:ilvl w:val="0"/>
                <w:numId w:val="26"/>
              </w:num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</w:t>
            </w:r>
            <w:r w:rsidRPr="00EF4560">
              <w:rPr>
                <w:rFonts w:ascii="Calibri" w:eastAsia="Times New Roman" w:hAnsi="Calibri" w:cs="Calibri"/>
                <w:lang w:eastAsia="en-GB"/>
              </w:rPr>
              <w:t>light decline in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hardship</w:t>
            </w:r>
            <w:r w:rsidRPr="00EF4560">
              <w:rPr>
                <w:rFonts w:ascii="Calibri" w:eastAsia="Times New Roman" w:hAnsi="Calibri" w:cs="Calibri"/>
                <w:lang w:eastAsia="en-GB"/>
              </w:rPr>
              <w:t xml:space="preserve"> applications reported by some institutions</w:t>
            </w:r>
          </w:p>
          <w:p w14:paraId="590100FC" w14:textId="77777777" w:rsidR="00372E06" w:rsidRDefault="00372E06" w:rsidP="00372E06">
            <w:pPr>
              <w:numPr>
                <w:ilvl w:val="0"/>
                <w:numId w:val="26"/>
              </w:num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  <w:r w:rsidRPr="00EF4560">
              <w:rPr>
                <w:rFonts w:ascii="Calibri" w:eastAsia="Times New Roman" w:hAnsi="Calibri" w:cs="Calibri"/>
                <w:lang w:eastAsia="en-GB"/>
              </w:rPr>
              <w:t>Noted disconnect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s</w:t>
            </w:r>
            <w:r w:rsidRPr="00EF4560">
              <w:rPr>
                <w:rFonts w:ascii="Calibri" w:eastAsia="Times New Roman" w:hAnsi="Calibri" w:cs="Calibri"/>
                <w:lang w:eastAsia="en-GB"/>
              </w:rPr>
              <w:t>tudents declare hardship but do not apply</w:t>
            </w:r>
          </w:p>
          <w:p w14:paraId="168FB5F7" w14:textId="77777777" w:rsidR="00372E06" w:rsidRDefault="00372E06" w:rsidP="00372E06">
            <w:pPr>
              <w:numPr>
                <w:ilvl w:val="0"/>
                <w:numId w:val="26"/>
              </w:num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  <w:r w:rsidRPr="00EF4560">
              <w:rPr>
                <w:rFonts w:ascii="Calibri" w:eastAsia="Times New Roman" w:hAnsi="Calibri" w:cs="Calibri"/>
                <w:lang w:eastAsia="en-GB"/>
              </w:rPr>
              <w:t>Applicants may not meet eligibility criteria</w:t>
            </w:r>
          </w:p>
          <w:p w14:paraId="22448638" w14:textId="77777777" w:rsidR="00372E06" w:rsidRDefault="00372E06" w:rsidP="00372E06">
            <w:pPr>
              <w:numPr>
                <w:ilvl w:val="0"/>
                <w:numId w:val="26"/>
              </w:num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  <w:r w:rsidRPr="00EF4560">
              <w:rPr>
                <w:rFonts w:ascii="Calibri" w:eastAsia="Times New Roman" w:hAnsi="Calibri" w:cs="Calibri"/>
                <w:lang w:eastAsia="en-GB"/>
              </w:rPr>
              <w:t>Decrease in overall fund spend</w:t>
            </w:r>
          </w:p>
          <w:p w14:paraId="39DDE2BE" w14:textId="77777777" w:rsidR="00372E06" w:rsidRDefault="00372E06" w:rsidP="00372E06">
            <w:pPr>
              <w:numPr>
                <w:ilvl w:val="0"/>
                <w:numId w:val="26"/>
              </w:num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  <w:r w:rsidRPr="00EF4560">
              <w:rPr>
                <w:rFonts w:ascii="Calibri" w:eastAsia="Times New Roman" w:hAnsi="Calibri" w:cs="Calibri"/>
                <w:lang w:eastAsia="en-GB"/>
              </w:rPr>
              <w:t>Students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can be r</w:t>
            </w:r>
            <w:r w:rsidRPr="00EF4560">
              <w:rPr>
                <w:rFonts w:ascii="Calibri" w:eastAsia="Times New Roman" w:hAnsi="Calibri" w:cs="Calibri"/>
                <w:lang w:eastAsia="en-GB"/>
              </w:rPr>
              <w:t>eluctant to use personal savings or funds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and i</w:t>
            </w:r>
            <w:r w:rsidRPr="00EF4560">
              <w:rPr>
                <w:rFonts w:ascii="Calibri" w:eastAsia="Times New Roman" w:hAnsi="Calibri" w:cs="Calibri"/>
                <w:lang w:eastAsia="en-GB"/>
              </w:rPr>
              <w:t>ncreasingly resistant to taking on debt</w:t>
            </w:r>
          </w:p>
          <w:p w14:paraId="1050690B" w14:textId="77777777" w:rsidR="00372E06" w:rsidRPr="00EF4560" w:rsidRDefault="00372E06" w:rsidP="00372E06">
            <w:pPr>
              <w:numPr>
                <w:ilvl w:val="0"/>
                <w:numId w:val="26"/>
              </w:num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  <w:r w:rsidRPr="00EF4560">
              <w:rPr>
                <w:rFonts w:ascii="Calibri" w:eastAsia="Times New Roman" w:hAnsi="Calibri" w:cs="Calibri"/>
                <w:lang w:eastAsia="en-GB"/>
              </w:rPr>
              <w:t>Conversion from enquiry to application is an issue</w:t>
            </w:r>
          </w:p>
          <w:p w14:paraId="77DA928D" w14:textId="77777777" w:rsidR="00372E06" w:rsidRDefault="00372E06" w:rsidP="00372E06">
            <w:pPr>
              <w:numPr>
                <w:ilvl w:val="0"/>
                <w:numId w:val="27"/>
              </w:num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  <w:r w:rsidRPr="00EF4560">
              <w:rPr>
                <w:rFonts w:ascii="Calibri" w:eastAsia="Times New Roman" w:hAnsi="Calibri" w:cs="Calibri"/>
                <w:lang w:eastAsia="en-GB"/>
              </w:rPr>
              <w:t xml:space="preserve">Overdraft </w:t>
            </w:r>
            <w:r>
              <w:rPr>
                <w:rFonts w:ascii="Calibri" w:eastAsia="Times New Roman" w:hAnsi="Calibri" w:cs="Calibri"/>
                <w:lang w:eastAsia="en-GB"/>
              </w:rPr>
              <w:t>u</w:t>
            </w:r>
            <w:r w:rsidRPr="00EF4560">
              <w:rPr>
                <w:rFonts w:ascii="Calibri" w:eastAsia="Times New Roman" w:hAnsi="Calibri" w:cs="Calibri"/>
                <w:lang w:eastAsia="en-GB"/>
              </w:rPr>
              <w:t>se has varying institutional approaches, counted as available income by some and encouraged but excluded from assessments by others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. </w:t>
            </w:r>
            <w:r w:rsidRPr="00EF4560">
              <w:rPr>
                <w:rFonts w:ascii="Calibri" w:eastAsia="Times New Roman" w:hAnsi="Calibri" w:cs="Calibri"/>
                <w:lang w:eastAsia="en-GB"/>
              </w:rPr>
              <w:t>Sometimes required before support is given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. </w:t>
            </w:r>
            <w:r w:rsidRPr="00EF4560">
              <w:rPr>
                <w:rFonts w:ascii="Calibri" w:eastAsia="Times New Roman" w:hAnsi="Calibri" w:cs="Calibri"/>
                <w:lang w:eastAsia="en-GB"/>
              </w:rPr>
              <w:t>Growing student reluctance to use overdrafts</w:t>
            </w:r>
          </w:p>
          <w:p w14:paraId="173516F9" w14:textId="77777777" w:rsidR="00372E06" w:rsidRDefault="00372E06" w:rsidP="00372E06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  <w:r w:rsidRPr="00EF4560">
              <w:rPr>
                <w:rFonts w:ascii="Calibri" w:eastAsia="Times New Roman" w:hAnsi="Calibri" w:cs="Calibri"/>
                <w:lang w:eastAsia="en-GB"/>
              </w:rPr>
              <w:t>Emergency hardship</w:t>
            </w:r>
            <w:r>
              <w:rPr>
                <w:rFonts w:ascii="Calibri" w:eastAsia="Times New Roman" w:hAnsi="Calibri" w:cs="Calibri"/>
                <w:lang w:eastAsia="en-GB"/>
              </w:rPr>
              <w:t>, o</w:t>
            </w:r>
            <w:r w:rsidRPr="00EF4560">
              <w:rPr>
                <w:rFonts w:ascii="Calibri" w:eastAsia="Times New Roman" w:hAnsi="Calibri" w:cs="Calibri"/>
                <w:lang w:eastAsia="en-GB"/>
              </w:rPr>
              <w:t>verdrafts may be expected to be used first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. </w:t>
            </w:r>
            <w:r w:rsidRPr="00EF4560">
              <w:rPr>
                <w:rFonts w:ascii="Calibri" w:eastAsia="Times New Roman" w:hAnsi="Calibri" w:cs="Calibri"/>
                <w:lang w:eastAsia="en-GB"/>
              </w:rPr>
              <w:t>Immediate funds reserved for urgent need only</w:t>
            </w:r>
          </w:p>
          <w:p w14:paraId="6ABF09B9" w14:textId="77777777" w:rsidR="00372E06" w:rsidRPr="00EF4560" w:rsidRDefault="00372E06" w:rsidP="00372E06">
            <w:pPr>
              <w:pStyle w:val="ListParagraph"/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</w:p>
          <w:p w14:paraId="3DE4F20C" w14:textId="77777777" w:rsidR="00372E06" w:rsidRPr="00EF4560" w:rsidRDefault="00372E06" w:rsidP="00372E06">
            <w:pPr>
              <w:numPr>
                <w:ilvl w:val="0"/>
                <w:numId w:val="27"/>
              </w:num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  <w:r w:rsidRPr="00EF4560">
              <w:rPr>
                <w:rFonts w:ascii="Calibri" w:eastAsia="Times New Roman" w:hAnsi="Calibri" w:cs="Calibri"/>
                <w:lang w:eastAsia="en-GB"/>
              </w:rPr>
              <w:t>Future Planning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of institution </w:t>
            </w:r>
            <w:r w:rsidRPr="00EF4560">
              <w:rPr>
                <w:rFonts w:ascii="Calibri" w:eastAsia="Times New Roman" w:hAnsi="Calibri" w:cs="Calibri"/>
                <w:lang w:eastAsia="en-GB"/>
              </w:rPr>
              <w:t>review of hardship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and Student Support Fund</w:t>
            </w:r>
            <w:r w:rsidRPr="00EF4560">
              <w:rPr>
                <w:rFonts w:ascii="Calibri" w:eastAsia="Times New Roman" w:hAnsi="Calibri" w:cs="Calibri"/>
                <w:lang w:eastAsia="en-GB"/>
              </w:rPr>
              <w:t>, including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s</w:t>
            </w:r>
            <w:r w:rsidRPr="00EF4560">
              <w:rPr>
                <w:rFonts w:ascii="Calibri" w:eastAsia="Times New Roman" w:hAnsi="Calibri" w:cs="Calibri"/>
                <w:lang w:eastAsia="en-GB"/>
              </w:rPr>
              <w:t>tudent and stakeholder consultation</w:t>
            </w:r>
            <w:r>
              <w:rPr>
                <w:rFonts w:ascii="Calibri" w:eastAsia="Times New Roman" w:hAnsi="Calibri" w:cs="Calibri"/>
                <w:lang w:eastAsia="en-GB"/>
              </w:rPr>
              <w:t>, f</w:t>
            </w:r>
            <w:r w:rsidRPr="00EF4560">
              <w:rPr>
                <w:rFonts w:ascii="Calibri" w:eastAsia="Times New Roman" w:hAnsi="Calibri" w:cs="Calibri"/>
                <w:lang w:eastAsia="en-GB"/>
              </w:rPr>
              <w:t>eedback from applicants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. </w:t>
            </w:r>
            <w:r w:rsidRPr="00EF4560">
              <w:rPr>
                <w:rFonts w:ascii="Calibri" w:eastAsia="Times New Roman" w:hAnsi="Calibri" w:cs="Calibri"/>
                <w:lang w:eastAsia="en-GB"/>
              </w:rPr>
              <w:t>Analysis of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i</w:t>
            </w:r>
            <w:r w:rsidRPr="00EF4560">
              <w:rPr>
                <w:rFonts w:ascii="Calibri" w:eastAsia="Times New Roman" w:hAnsi="Calibri" w:cs="Calibri"/>
                <w:lang w:eastAsia="en-GB"/>
              </w:rPr>
              <w:t>mpact on academic outcomes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and s</w:t>
            </w:r>
            <w:r w:rsidRPr="00EF4560">
              <w:rPr>
                <w:rFonts w:ascii="Calibri" w:eastAsia="Times New Roman" w:hAnsi="Calibri" w:cs="Calibri"/>
                <w:lang w:eastAsia="en-GB"/>
              </w:rPr>
              <w:t>tudent progression vs withdrawal after support</w:t>
            </w:r>
          </w:p>
          <w:p w14:paraId="13268928" w14:textId="77777777" w:rsidR="00372E06" w:rsidRPr="00EF4560" w:rsidRDefault="00372E06" w:rsidP="00372E06">
            <w:pPr>
              <w:numPr>
                <w:ilvl w:val="0"/>
                <w:numId w:val="27"/>
              </w:num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  <w:r w:rsidRPr="00EF4560">
              <w:rPr>
                <w:rFonts w:ascii="Calibri" w:eastAsia="Times New Roman" w:hAnsi="Calibri" w:cs="Calibri"/>
                <w:lang w:eastAsia="en-GB"/>
              </w:rPr>
              <w:t>Awaiting official SFE/LLE resources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. </w:t>
            </w:r>
            <w:r w:rsidRPr="00EF4560">
              <w:rPr>
                <w:rFonts w:ascii="Calibri" w:eastAsia="Times New Roman" w:hAnsi="Calibri" w:cs="Calibri"/>
                <w:lang w:eastAsia="en-GB"/>
              </w:rPr>
              <w:t xml:space="preserve">Resources </w:t>
            </w:r>
            <w:r>
              <w:rPr>
                <w:rFonts w:ascii="Calibri" w:eastAsia="Times New Roman" w:hAnsi="Calibri" w:cs="Calibri"/>
                <w:lang w:eastAsia="en-GB"/>
              </w:rPr>
              <w:t>and</w:t>
            </w:r>
            <w:r w:rsidRPr="00EF4560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lang w:eastAsia="en-GB"/>
              </w:rPr>
              <w:t>c</w:t>
            </w:r>
            <w:r w:rsidRPr="00EF4560">
              <w:rPr>
                <w:rFonts w:ascii="Calibri" w:eastAsia="Times New Roman" w:hAnsi="Calibri" w:cs="Calibri"/>
                <w:lang w:eastAsia="en-GB"/>
              </w:rPr>
              <w:t>ollaboration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discussed between members</w:t>
            </w:r>
          </w:p>
          <w:p w14:paraId="4868925B" w14:textId="77777777" w:rsidR="00372E06" w:rsidRPr="00EF4560" w:rsidRDefault="00372E06" w:rsidP="00372E06">
            <w:pPr>
              <w:numPr>
                <w:ilvl w:val="0"/>
                <w:numId w:val="28"/>
              </w:num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  <w:r w:rsidRPr="00EF4560">
              <w:rPr>
                <w:rFonts w:ascii="Calibri" w:eastAsia="Times New Roman" w:hAnsi="Calibri" w:cs="Calibri"/>
                <w:lang w:eastAsia="en-GB"/>
              </w:rPr>
              <w:t>SLC developing student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EF4560">
              <w:rPr>
                <w:rFonts w:ascii="Calibri" w:eastAsia="Times New Roman" w:hAnsi="Calibri" w:cs="Calibri"/>
                <w:lang w:eastAsia="en-GB"/>
              </w:rPr>
              <w:t>facing presentations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for LLE?</w:t>
            </w:r>
          </w:p>
          <w:p w14:paraId="6EC38A31" w14:textId="77777777" w:rsidR="00372E06" w:rsidRPr="00EF4560" w:rsidRDefault="00372E06" w:rsidP="00372E06">
            <w:pPr>
              <w:numPr>
                <w:ilvl w:val="0"/>
                <w:numId w:val="29"/>
              </w:num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lang w:eastAsia="en-GB"/>
              </w:rPr>
            </w:pPr>
            <w:r w:rsidRPr="00EF4560">
              <w:rPr>
                <w:rFonts w:ascii="Calibri" w:eastAsia="Times New Roman" w:hAnsi="Calibri" w:cs="Calibri"/>
                <w:lang w:eastAsia="en-GB"/>
              </w:rPr>
              <w:t>Concern raised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, </w:t>
            </w:r>
            <w:r w:rsidRPr="00EF4560">
              <w:rPr>
                <w:rFonts w:ascii="Calibri" w:eastAsia="Times New Roman" w:hAnsi="Calibri" w:cs="Calibri"/>
                <w:lang w:eastAsia="en-GB"/>
              </w:rPr>
              <w:t>Non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proofErr w:type="spellStart"/>
            <w:r w:rsidRPr="00EF4560">
              <w:rPr>
                <w:rFonts w:ascii="Calibri" w:eastAsia="Times New Roman" w:hAnsi="Calibri" w:cs="Calibri"/>
                <w:lang w:eastAsia="en-GB"/>
              </w:rPr>
              <w:t>OfS</w:t>
            </w:r>
            <w:proofErr w:type="spellEnd"/>
            <w:r w:rsidRPr="00EF4560">
              <w:rPr>
                <w:rFonts w:ascii="Calibri" w:eastAsia="Times New Roman" w:hAnsi="Calibri" w:cs="Calibri"/>
                <w:lang w:eastAsia="en-GB"/>
              </w:rPr>
              <w:t xml:space="preserve"> providers excluded from SLC events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. </w:t>
            </w:r>
            <w:r w:rsidRPr="00EF4560">
              <w:rPr>
                <w:rFonts w:ascii="Calibri" w:eastAsia="Times New Roman" w:hAnsi="Calibri" w:cs="Calibri"/>
                <w:lang w:eastAsia="en-GB"/>
              </w:rPr>
              <w:t>Limits access to key information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. </w:t>
            </w:r>
          </w:p>
          <w:p w14:paraId="4400E9B9" w14:textId="77777777" w:rsidR="007D5693" w:rsidRDefault="007D5693" w:rsidP="00D76B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7213436F" w14:textId="77777777" w:rsidR="007D5693" w:rsidRPr="00F27B52" w:rsidRDefault="007D5693" w:rsidP="00D76BF7">
            <w:pPr>
              <w:rPr>
                <w:bCs/>
              </w:rPr>
            </w:pPr>
          </w:p>
        </w:tc>
      </w:tr>
      <w:bookmarkEnd w:id="0"/>
    </w:tbl>
    <w:p w14:paraId="5AAFFC4A" w14:textId="1A2C6C6D" w:rsidR="00147FE5" w:rsidRPr="00DB0AF2" w:rsidRDefault="00147FE5" w:rsidP="001504CF">
      <w:pPr>
        <w:rPr>
          <w:b/>
        </w:rPr>
      </w:pPr>
    </w:p>
    <w:sectPr w:rsidR="00147FE5" w:rsidRPr="00DB0AF2" w:rsidSect="008B39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0236"/>
    <w:multiLevelType w:val="multilevel"/>
    <w:tmpl w:val="F9E0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2069F"/>
    <w:multiLevelType w:val="hybridMultilevel"/>
    <w:tmpl w:val="6D56E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C6691"/>
    <w:multiLevelType w:val="multilevel"/>
    <w:tmpl w:val="09FA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E4C65"/>
    <w:multiLevelType w:val="multilevel"/>
    <w:tmpl w:val="9CCA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F20514"/>
    <w:multiLevelType w:val="multilevel"/>
    <w:tmpl w:val="025C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444A4"/>
    <w:multiLevelType w:val="hybridMultilevel"/>
    <w:tmpl w:val="D20A8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D5E83"/>
    <w:multiLevelType w:val="multilevel"/>
    <w:tmpl w:val="9CCA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4578E"/>
    <w:multiLevelType w:val="multilevel"/>
    <w:tmpl w:val="9CCA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A59BB"/>
    <w:multiLevelType w:val="multilevel"/>
    <w:tmpl w:val="5D9E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80CFB"/>
    <w:multiLevelType w:val="multilevel"/>
    <w:tmpl w:val="61D0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22E92"/>
    <w:multiLevelType w:val="multilevel"/>
    <w:tmpl w:val="9CCA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020BD9"/>
    <w:multiLevelType w:val="multilevel"/>
    <w:tmpl w:val="5CFC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4035A6"/>
    <w:multiLevelType w:val="hybridMultilevel"/>
    <w:tmpl w:val="93F6B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318B2"/>
    <w:multiLevelType w:val="hybridMultilevel"/>
    <w:tmpl w:val="7F928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5090F"/>
    <w:multiLevelType w:val="multilevel"/>
    <w:tmpl w:val="7004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442BD8"/>
    <w:multiLevelType w:val="multilevel"/>
    <w:tmpl w:val="6D6A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363FEF"/>
    <w:multiLevelType w:val="multilevel"/>
    <w:tmpl w:val="0B7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B32D5A"/>
    <w:multiLevelType w:val="multilevel"/>
    <w:tmpl w:val="3550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D80562"/>
    <w:multiLevelType w:val="multilevel"/>
    <w:tmpl w:val="3E12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9C3B5E"/>
    <w:multiLevelType w:val="multilevel"/>
    <w:tmpl w:val="81D6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F87588"/>
    <w:multiLevelType w:val="multilevel"/>
    <w:tmpl w:val="6E7E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5F19E5"/>
    <w:multiLevelType w:val="multilevel"/>
    <w:tmpl w:val="592A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B92F39"/>
    <w:multiLevelType w:val="multilevel"/>
    <w:tmpl w:val="9CCA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DD3996"/>
    <w:multiLevelType w:val="multilevel"/>
    <w:tmpl w:val="E3EE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7A429E"/>
    <w:multiLevelType w:val="multilevel"/>
    <w:tmpl w:val="9CCA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FA5892"/>
    <w:multiLevelType w:val="multilevel"/>
    <w:tmpl w:val="5EEA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2D1943"/>
    <w:multiLevelType w:val="hybridMultilevel"/>
    <w:tmpl w:val="A956C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8687A"/>
    <w:multiLevelType w:val="multilevel"/>
    <w:tmpl w:val="9AAC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9366DE"/>
    <w:multiLevelType w:val="multilevel"/>
    <w:tmpl w:val="56DA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047590">
    <w:abstractNumId w:val="12"/>
  </w:num>
  <w:num w:numId="2" w16cid:durableId="116223414">
    <w:abstractNumId w:val="28"/>
  </w:num>
  <w:num w:numId="3" w16cid:durableId="1948464641">
    <w:abstractNumId w:val="17"/>
  </w:num>
  <w:num w:numId="4" w16cid:durableId="779227368">
    <w:abstractNumId w:val="0"/>
  </w:num>
  <w:num w:numId="5" w16cid:durableId="1545437157">
    <w:abstractNumId w:val="21"/>
  </w:num>
  <w:num w:numId="6" w16cid:durableId="1342273668">
    <w:abstractNumId w:val="20"/>
  </w:num>
  <w:num w:numId="7" w16cid:durableId="932783563">
    <w:abstractNumId w:val="16"/>
  </w:num>
  <w:num w:numId="8" w16cid:durableId="1692145260">
    <w:abstractNumId w:val="2"/>
  </w:num>
  <w:num w:numId="9" w16cid:durableId="1159229739">
    <w:abstractNumId w:val="11"/>
  </w:num>
  <w:num w:numId="10" w16cid:durableId="1868057345">
    <w:abstractNumId w:val="19"/>
  </w:num>
  <w:num w:numId="11" w16cid:durableId="1991330062">
    <w:abstractNumId w:val="8"/>
  </w:num>
  <w:num w:numId="12" w16cid:durableId="1737164898">
    <w:abstractNumId w:val="25"/>
  </w:num>
  <w:num w:numId="13" w16cid:durableId="532228380">
    <w:abstractNumId w:val="18"/>
  </w:num>
  <w:num w:numId="14" w16cid:durableId="141123482">
    <w:abstractNumId w:val="23"/>
  </w:num>
  <w:num w:numId="15" w16cid:durableId="1804695328">
    <w:abstractNumId w:val="4"/>
  </w:num>
  <w:num w:numId="16" w16cid:durableId="159390017">
    <w:abstractNumId w:val="1"/>
  </w:num>
  <w:num w:numId="17" w16cid:durableId="1336497960">
    <w:abstractNumId w:val="26"/>
  </w:num>
  <w:num w:numId="18" w16cid:durableId="1813987163">
    <w:abstractNumId w:val="10"/>
  </w:num>
  <w:num w:numId="19" w16cid:durableId="1903364751">
    <w:abstractNumId w:val="27"/>
  </w:num>
  <w:num w:numId="20" w16cid:durableId="1035468926">
    <w:abstractNumId w:val="15"/>
  </w:num>
  <w:num w:numId="21" w16cid:durableId="144326581">
    <w:abstractNumId w:val="9"/>
  </w:num>
  <w:num w:numId="22" w16cid:durableId="1937709154">
    <w:abstractNumId w:val="14"/>
  </w:num>
  <w:num w:numId="23" w16cid:durableId="698702981">
    <w:abstractNumId w:val="13"/>
  </w:num>
  <w:num w:numId="24" w16cid:durableId="1553805017">
    <w:abstractNumId w:val="22"/>
  </w:num>
  <w:num w:numId="25" w16cid:durableId="1546988570">
    <w:abstractNumId w:val="5"/>
  </w:num>
  <w:num w:numId="26" w16cid:durableId="1686400221">
    <w:abstractNumId w:val="24"/>
  </w:num>
  <w:num w:numId="27" w16cid:durableId="462701087">
    <w:abstractNumId w:val="7"/>
  </w:num>
  <w:num w:numId="28" w16cid:durableId="346716041">
    <w:abstractNumId w:val="3"/>
  </w:num>
  <w:num w:numId="29" w16cid:durableId="33385683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AF2"/>
    <w:rsid w:val="00004CD3"/>
    <w:rsid w:val="00005C6D"/>
    <w:rsid w:val="00027A99"/>
    <w:rsid w:val="0007181C"/>
    <w:rsid w:val="000719D7"/>
    <w:rsid w:val="00073A5A"/>
    <w:rsid w:val="00073AD7"/>
    <w:rsid w:val="00090B84"/>
    <w:rsid w:val="00096414"/>
    <w:rsid w:val="000A20E1"/>
    <w:rsid w:val="000A24C0"/>
    <w:rsid w:val="000B1825"/>
    <w:rsid w:val="000C0EDF"/>
    <w:rsid w:val="000C30E1"/>
    <w:rsid w:val="000D2C74"/>
    <w:rsid w:val="000E4BF8"/>
    <w:rsid w:val="000E6996"/>
    <w:rsid w:val="000F666F"/>
    <w:rsid w:val="00116A5F"/>
    <w:rsid w:val="00131599"/>
    <w:rsid w:val="00142CFF"/>
    <w:rsid w:val="00147FE5"/>
    <w:rsid w:val="001504CF"/>
    <w:rsid w:val="0015488E"/>
    <w:rsid w:val="00156C19"/>
    <w:rsid w:val="00166446"/>
    <w:rsid w:val="00173264"/>
    <w:rsid w:val="00186C40"/>
    <w:rsid w:val="001A34BC"/>
    <w:rsid w:val="001B0233"/>
    <w:rsid w:val="001B35DD"/>
    <w:rsid w:val="001B4D0E"/>
    <w:rsid w:val="001B503F"/>
    <w:rsid w:val="001D1B81"/>
    <w:rsid w:val="001D55AC"/>
    <w:rsid w:val="001E0D23"/>
    <w:rsid w:val="001E18F1"/>
    <w:rsid w:val="0020481F"/>
    <w:rsid w:val="002063E6"/>
    <w:rsid w:val="00213120"/>
    <w:rsid w:val="00223360"/>
    <w:rsid w:val="00226F36"/>
    <w:rsid w:val="00241B1C"/>
    <w:rsid w:val="00242CF8"/>
    <w:rsid w:val="00256CC7"/>
    <w:rsid w:val="00261F7C"/>
    <w:rsid w:val="0026474A"/>
    <w:rsid w:val="00267383"/>
    <w:rsid w:val="00287977"/>
    <w:rsid w:val="002935B3"/>
    <w:rsid w:val="00293C45"/>
    <w:rsid w:val="00293E83"/>
    <w:rsid w:val="002A0094"/>
    <w:rsid w:val="002A66A0"/>
    <w:rsid w:val="002B366E"/>
    <w:rsid w:val="002B40DD"/>
    <w:rsid w:val="002C6DE0"/>
    <w:rsid w:val="002D49A9"/>
    <w:rsid w:val="002E46AE"/>
    <w:rsid w:val="003041E5"/>
    <w:rsid w:val="00305B07"/>
    <w:rsid w:val="00305E72"/>
    <w:rsid w:val="00311E8C"/>
    <w:rsid w:val="00312438"/>
    <w:rsid w:val="0031278B"/>
    <w:rsid w:val="00313569"/>
    <w:rsid w:val="0031725C"/>
    <w:rsid w:val="003216B3"/>
    <w:rsid w:val="00326E23"/>
    <w:rsid w:val="00326F7A"/>
    <w:rsid w:val="00327AB2"/>
    <w:rsid w:val="00334532"/>
    <w:rsid w:val="00336076"/>
    <w:rsid w:val="00372E06"/>
    <w:rsid w:val="00392B02"/>
    <w:rsid w:val="003A2475"/>
    <w:rsid w:val="003B4B7A"/>
    <w:rsid w:val="003B6300"/>
    <w:rsid w:val="003C2A4C"/>
    <w:rsid w:val="003C5019"/>
    <w:rsid w:val="003C7D30"/>
    <w:rsid w:val="003E2395"/>
    <w:rsid w:val="003E3E8D"/>
    <w:rsid w:val="003E59C4"/>
    <w:rsid w:val="003E7A44"/>
    <w:rsid w:val="003F2406"/>
    <w:rsid w:val="00410714"/>
    <w:rsid w:val="00414EE0"/>
    <w:rsid w:val="00417254"/>
    <w:rsid w:val="00426CA5"/>
    <w:rsid w:val="0043397D"/>
    <w:rsid w:val="00435F1A"/>
    <w:rsid w:val="004431F8"/>
    <w:rsid w:val="00445802"/>
    <w:rsid w:val="00450AE1"/>
    <w:rsid w:val="00451CCA"/>
    <w:rsid w:val="00456C4D"/>
    <w:rsid w:val="00466C13"/>
    <w:rsid w:val="00473AD9"/>
    <w:rsid w:val="0048257A"/>
    <w:rsid w:val="004845C1"/>
    <w:rsid w:val="00490B47"/>
    <w:rsid w:val="00491A4D"/>
    <w:rsid w:val="004A71DD"/>
    <w:rsid w:val="004B69E0"/>
    <w:rsid w:val="004C6231"/>
    <w:rsid w:val="004D02E9"/>
    <w:rsid w:val="004E1C4F"/>
    <w:rsid w:val="004E6DE7"/>
    <w:rsid w:val="004F3EAF"/>
    <w:rsid w:val="005123B8"/>
    <w:rsid w:val="00516CAA"/>
    <w:rsid w:val="00527975"/>
    <w:rsid w:val="0053263E"/>
    <w:rsid w:val="00532715"/>
    <w:rsid w:val="00537D76"/>
    <w:rsid w:val="00541BE9"/>
    <w:rsid w:val="00541D49"/>
    <w:rsid w:val="00542F2B"/>
    <w:rsid w:val="00545CD1"/>
    <w:rsid w:val="00545DD8"/>
    <w:rsid w:val="005467B6"/>
    <w:rsid w:val="00547647"/>
    <w:rsid w:val="0055148D"/>
    <w:rsid w:val="005524D0"/>
    <w:rsid w:val="005564D0"/>
    <w:rsid w:val="00587F37"/>
    <w:rsid w:val="0059056A"/>
    <w:rsid w:val="00593950"/>
    <w:rsid w:val="005A0874"/>
    <w:rsid w:val="005B1522"/>
    <w:rsid w:val="005B3414"/>
    <w:rsid w:val="005B6D8D"/>
    <w:rsid w:val="005C08E8"/>
    <w:rsid w:val="005C38AA"/>
    <w:rsid w:val="005C4623"/>
    <w:rsid w:val="005C5FEC"/>
    <w:rsid w:val="005C6D9F"/>
    <w:rsid w:val="005F092B"/>
    <w:rsid w:val="00600ED3"/>
    <w:rsid w:val="00603422"/>
    <w:rsid w:val="00606BCA"/>
    <w:rsid w:val="006104D1"/>
    <w:rsid w:val="00610FB7"/>
    <w:rsid w:val="00611612"/>
    <w:rsid w:val="006133C5"/>
    <w:rsid w:val="006165AB"/>
    <w:rsid w:val="00620E15"/>
    <w:rsid w:val="00640511"/>
    <w:rsid w:val="006524DE"/>
    <w:rsid w:val="00653CB4"/>
    <w:rsid w:val="006550FE"/>
    <w:rsid w:val="006563B0"/>
    <w:rsid w:val="00664D09"/>
    <w:rsid w:val="006656A5"/>
    <w:rsid w:val="00673D1C"/>
    <w:rsid w:val="006748F3"/>
    <w:rsid w:val="00685228"/>
    <w:rsid w:val="006867B3"/>
    <w:rsid w:val="00687F47"/>
    <w:rsid w:val="006A066E"/>
    <w:rsid w:val="006B6DE2"/>
    <w:rsid w:val="006C057A"/>
    <w:rsid w:val="006C4EC2"/>
    <w:rsid w:val="006C50FB"/>
    <w:rsid w:val="006D083B"/>
    <w:rsid w:val="006E3C72"/>
    <w:rsid w:val="006E5D18"/>
    <w:rsid w:val="006F0A1B"/>
    <w:rsid w:val="006F1E88"/>
    <w:rsid w:val="0070031C"/>
    <w:rsid w:val="0070430E"/>
    <w:rsid w:val="00711B7C"/>
    <w:rsid w:val="00712870"/>
    <w:rsid w:val="00714D72"/>
    <w:rsid w:val="0072692F"/>
    <w:rsid w:val="0073367E"/>
    <w:rsid w:val="00737EF1"/>
    <w:rsid w:val="007438DB"/>
    <w:rsid w:val="00744522"/>
    <w:rsid w:val="00756417"/>
    <w:rsid w:val="00761E99"/>
    <w:rsid w:val="0076416D"/>
    <w:rsid w:val="0077705C"/>
    <w:rsid w:val="007872A2"/>
    <w:rsid w:val="00792E89"/>
    <w:rsid w:val="007B14D7"/>
    <w:rsid w:val="007D1C48"/>
    <w:rsid w:val="007D3175"/>
    <w:rsid w:val="007D46D3"/>
    <w:rsid w:val="007D5693"/>
    <w:rsid w:val="007E59E1"/>
    <w:rsid w:val="007F7A7E"/>
    <w:rsid w:val="007F7A9F"/>
    <w:rsid w:val="00811E9F"/>
    <w:rsid w:val="00820C7A"/>
    <w:rsid w:val="00831375"/>
    <w:rsid w:val="00832F16"/>
    <w:rsid w:val="00837B5E"/>
    <w:rsid w:val="00851091"/>
    <w:rsid w:val="008724B5"/>
    <w:rsid w:val="00873275"/>
    <w:rsid w:val="008738EB"/>
    <w:rsid w:val="008A2CCA"/>
    <w:rsid w:val="008A7C8E"/>
    <w:rsid w:val="008B0047"/>
    <w:rsid w:val="008B12B4"/>
    <w:rsid w:val="008B3974"/>
    <w:rsid w:val="008B72A4"/>
    <w:rsid w:val="008D7364"/>
    <w:rsid w:val="008D7C46"/>
    <w:rsid w:val="008D7F65"/>
    <w:rsid w:val="008E3096"/>
    <w:rsid w:val="008E454C"/>
    <w:rsid w:val="0090348F"/>
    <w:rsid w:val="00903BEB"/>
    <w:rsid w:val="00904584"/>
    <w:rsid w:val="00904E8D"/>
    <w:rsid w:val="009114AB"/>
    <w:rsid w:val="009356BC"/>
    <w:rsid w:val="00946622"/>
    <w:rsid w:val="0096305E"/>
    <w:rsid w:val="0096563E"/>
    <w:rsid w:val="00965B90"/>
    <w:rsid w:val="00965D5A"/>
    <w:rsid w:val="00991766"/>
    <w:rsid w:val="00991C2F"/>
    <w:rsid w:val="009A5BDE"/>
    <w:rsid w:val="009C0A2A"/>
    <w:rsid w:val="009E3940"/>
    <w:rsid w:val="009F0EAC"/>
    <w:rsid w:val="009F2505"/>
    <w:rsid w:val="00A0241D"/>
    <w:rsid w:val="00A31AB4"/>
    <w:rsid w:val="00A40828"/>
    <w:rsid w:val="00A41E62"/>
    <w:rsid w:val="00A42B54"/>
    <w:rsid w:val="00A432A2"/>
    <w:rsid w:val="00A5409A"/>
    <w:rsid w:val="00A627B5"/>
    <w:rsid w:val="00A658B3"/>
    <w:rsid w:val="00A8574F"/>
    <w:rsid w:val="00A94D45"/>
    <w:rsid w:val="00AA5413"/>
    <w:rsid w:val="00AA64E7"/>
    <w:rsid w:val="00AA7185"/>
    <w:rsid w:val="00AB166F"/>
    <w:rsid w:val="00AB3C16"/>
    <w:rsid w:val="00AB74A8"/>
    <w:rsid w:val="00AB7F52"/>
    <w:rsid w:val="00AC0AB7"/>
    <w:rsid w:val="00AE208A"/>
    <w:rsid w:val="00AE5972"/>
    <w:rsid w:val="00AE64E6"/>
    <w:rsid w:val="00AE6608"/>
    <w:rsid w:val="00AE786E"/>
    <w:rsid w:val="00AF094A"/>
    <w:rsid w:val="00AF424C"/>
    <w:rsid w:val="00B211D7"/>
    <w:rsid w:val="00B2121E"/>
    <w:rsid w:val="00B22D12"/>
    <w:rsid w:val="00B24A40"/>
    <w:rsid w:val="00B37AEC"/>
    <w:rsid w:val="00B411CC"/>
    <w:rsid w:val="00B53192"/>
    <w:rsid w:val="00B61BEE"/>
    <w:rsid w:val="00B719FD"/>
    <w:rsid w:val="00B84DBF"/>
    <w:rsid w:val="00B85190"/>
    <w:rsid w:val="00BB1C44"/>
    <w:rsid w:val="00BB6AD4"/>
    <w:rsid w:val="00BB75F6"/>
    <w:rsid w:val="00BB7EA6"/>
    <w:rsid w:val="00BC1433"/>
    <w:rsid w:val="00BC3468"/>
    <w:rsid w:val="00BD0769"/>
    <w:rsid w:val="00BD671C"/>
    <w:rsid w:val="00BF2A14"/>
    <w:rsid w:val="00BF2E7A"/>
    <w:rsid w:val="00C0252C"/>
    <w:rsid w:val="00C0374A"/>
    <w:rsid w:val="00C064DE"/>
    <w:rsid w:val="00C07807"/>
    <w:rsid w:val="00C07F1B"/>
    <w:rsid w:val="00C14B0A"/>
    <w:rsid w:val="00C17AAF"/>
    <w:rsid w:val="00C21F44"/>
    <w:rsid w:val="00C34B52"/>
    <w:rsid w:val="00C41E84"/>
    <w:rsid w:val="00C561C9"/>
    <w:rsid w:val="00C57B9A"/>
    <w:rsid w:val="00C65B32"/>
    <w:rsid w:val="00C71109"/>
    <w:rsid w:val="00C72D88"/>
    <w:rsid w:val="00C74FB2"/>
    <w:rsid w:val="00C76AB6"/>
    <w:rsid w:val="00C820EE"/>
    <w:rsid w:val="00C924F0"/>
    <w:rsid w:val="00CA4E4E"/>
    <w:rsid w:val="00CB3257"/>
    <w:rsid w:val="00CB5D4D"/>
    <w:rsid w:val="00CC2922"/>
    <w:rsid w:val="00CC65AE"/>
    <w:rsid w:val="00CD20A7"/>
    <w:rsid w:val="00CE1C1A"/>
    <w:rsid w:val="00CE1E24"/>
    <w:rsid w:val="00CE25F7"/>
    <w:rsid w:val="00CF6CBF"/>
    <w:rsid w:val="00D11042"/>
    <w:rsid w:val="00D13FA1"/>
    <w:rsid w:val="00D17A97"/>
    <w:rsid w:val="00D23AD5"/>
    <w:rsid w:val="00D2404D"/>
    <w:rsid w:val="00D25B00"/>
    <w:rsid w:val="00D322B6"/>
    <w:rsid w:val="00D32549"/>
    <w:rsid w:val="00D351CF"/>
    <w:rsid w:val="00D351FE"/>
    <w:rsid w:val="00D41197"/>
    <w:rsid w:val="00D5518B"/>
    <w:rsid w:val="00D569C7"/>
    <w:rsid w:val="00D60ADD"/>
    <w:rsid w:val="00D74B1D"/>
    <w:rsid w:val="00D76BF7"/>
    <w:rsid w:val="00D80358"/>
    <w:rsid w:val="00D852D1"/>
    <w:rsid w:val="00D9139F"/>
    <w:rsid w:val="00D96D6B"/>
    <w:rsid w:val="00DA287E"/>
    <w:rsid w:val="00DB0AF2"/>
    <w:rsid w:val="00DD1DB2"/>
    <w:rsid w:val="00DD4763"/>
    <w:rsid w:val="00DE4971"/>
    <w:rsid w:val="00DE7CE1"/>
    <w:rsid w:val="00DF4B18"/>
    <w:rsid w:val="00DF5BBA"/>
    <w:rsid w:val="00E00486"/>
    <w:rsid w:val="00E00D94"/>
    <w:rsid w:val="00E15EC5"/>
    <w:rsid w:val="00E20763"/>
    <w:rsid w:val="00E20F3D"/>
    <w:rsid w:val="00E26595"/>
    <w:rsid w:val="00E26F6C"/>
    <w:rsid w:val="00E2714C"/>
    <w:rsid w:val="00E35E21"/>
    <w:rsid w:val="00E4245A"/>
    <w:rsid w:val="00E45604"/>
    <w:rsid w:val="00E52010"/>
    <w:rsid w:val="00E83FA1"/>
    <w:rsid w:val="00E858C1"/>
    <w:rsid w:val="00E87389"/>
    <w:rsid w:val="00E97111"/>
    <w:rsid w:val="00EA13A0"/>
    <w:rsid w:val="00EA30B6"/>
    <w:rsid w:val="00EA4BCB"/>
    <w:rsid w:val="00EA5829"/>
    <w:rsid w:val="00ED0DF6"/>
    <w:rsid w:val="00EE0F78"/>
    <w:rsid w:val="00EE24BA"/>
    <w:rsid w:val="00EF1F1D"/>
    <w:rsid w:val="00EF3738"/>
    <w:rsid w:val="00EF6AF2"/>
    <w:rsid w:val="00F11D0E"/>
    <w:rsid w:val="00F1276F"/>
    <w:rsid w:val="00F14144"/>
    <w:rsid w:val="00F17AED"/>
    <w:rsid w:val="00F228C1"/>
    <w:rsid w:val="00F261F4"/>
    <w:rsid w:val="00F27B52"/>
    <w:rsid w:val="00F315D1"/>
    <w:rsid w:val="00F34EA2"/>
    <w:rsid w:val="00F358F2"/>
    <w:rsid w:val="00F35FA0"/>
    <w:rsid w:val="00F403EA"/>
    <w:rsid w:val="00F46CCF"/>
    <w:rsid w:val="00F50E0E"/>
    <w:rsid w:val="00F53526"/>
    <w:rsid w:val="00F54EAA"/>
    <w:rsid w:val="00F57B7E"/>
    <w:rsid w:val="00F6359D"/>
    <w:rsid w:val="00F6468D"/>
    <w:rsid w:val="00F66927"/>
    <w:rsid w:val="00F74EE7"/>
    <w:rsid w:val="00F7556B"/>
    <w:rsid w:val="00F87414"/>
    <w:rsid w:val="00F93E2F"/>
    <w:rsid w:val="00FA3B63"/>
    <w:rsid w:val="00FB0CEE"/>
    <w:rsid w:val="00FB2A0C"/>
    <w:rsid w:val="00FB31F4"/>
    <w:rsid w:val="00FB44F2"/>
    <w:rsid w:val="00FD4527"/>
    <w:rsid w:val="00FD6FAE"/>
    <w:rsid w:val="00FD778F"/>
    <w:rsid w:val="00FE1715"/>
    <w:rsid w:val="00FE1FEF"/>
    <w:rsid w:val="00FE57E9"/>
    <w:rsid w:val="00FF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70375"/>
  <w15:docId w15:val="{F47ADA84-B615-4F6D-AEC8-D649B499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8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35B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31AB4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1A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4B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Reading University Students' Union</Company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A. Milne</dc:creator>
  <cp:lastModifiedBy>MCKAY, THERESA M.</cp:lastModifiedBy>
  <cp:revision>140</cp:revision>
  <dcterms:created xsi:type="dcterms:W3CDTF">2026-06-03T12:37:00Z</dcterms:created>
  <dcterms:modified xsi:type="dcterms:W3CDTF">2026-06-11T15:19:00Z</dcterms:modified>
</cp:coreProperties>
</file>